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38" w:rsidRPr="00681DF5" w:rsidRDefault="00776638" w:rsidP="00681DF5">
      <w:pPr>
        <w:pStyle w:val="Heading2"/>
      </w:pPr>
      <w:r w:rsidRPr="00681DF5">
        <w:t>Definin</w:t>
      </w:r>
      <w:r w:rsidR="00EC7E0A" w:rsidRPr="00681DF5">
        <w:t>g Core Instruments</w:t>
      </w:r>
    </w:p>
    <w:p w:rsidR="00EC7E0A" w:rsidRPr="00E3587B" w:rsidRDefault="0031755C" w:rsidP="00776638">
      <w:pPr>
        <w:spacing w:after="0" w:line="240" w:lineRule="auto"/>
        <w:rPr>
          <w:rFonts w:ascii="Arial" w:hAnsi="Arial" w:cs="Arial"/>
          <w:b/>
          <w:sz w:val="24"/>
          <w:szCs w:val="24"/>
        </w:rPr>
      </w:pPr>
      <w:r w:rsidRPr="00E3587B">
        <w:rPr>
          <w:rFonts w:ascii="Arial" w:hAnsi="Arial" w:cs="Arial"/>
        </w:rPr>
        <w:t xml:space="preserve">This summary is the companion document to the NINDS </w:t>
      </w:r>
      <w:r w:rsidR="00B26E7F">
        <w:rPr>
          <w:rFonts w:ascii="Arial" w:hAnsi="Arial" w:cs="Arial"/>
        </w:rPr>
        <w:t xml:space="preserve">Parkinson’s disease </w:t>
      </w:r>
      <w:r w:rsidRPr="00E3587B">
        <w:rPr>
          <w:rFonts w:ascii="Arial" w:hAnsi="Arial" w:cs="Arial"/>
        </w:rPr>
        <w:t>CDE Work</w:t>
      </w:r>
      <w:r w:rsidR="00B26E7F">
        <w:rPr>
          <w:rFonts w:ascii="Arial" w:hAnsi="Arial" w:cs="Arial"/>
        </w:rPr>
        <w:t>ing G</w:t>
      </w:r>
      <w:r w:rsidRPr="00E3587B">
        <w:rPr>
          <w:rFonts w:ascii="Arial" w:hAnsi="Arial" w:cs="Arial"/>
        </w:rPr>
        <w:t>roup – Psychiatry Table</w:t>
      </w:r>
      <w:r w:rsidR="00E14CFE">
        <w:rPr>
          <w:rFonts w:ascii="Arial" w:hAnsi="Arial" w:cs="Arial"/>
        </w:rPr>
        <w:t xml:space="preserve"> (see </w:t>
      </w:r>
      <w:r w:rsidR="00E14CFE" w:rsidRPr="00F442D8">
        <w:rPr>
          <w:rFonts w:ascii="Arial" w:hAnsi="Arial" w:cs="Arial"/>
          <w:color w:val="0033CC"/>
          <w:u w:val="single"/>
        </w:rPr>
        <w:fldChar w:fldCharType="begin"/>
      </w:r>
      <w:r w:rsidR="00E14CFE" w:rsidRPr="00F442D8">
        <w:rPr>
          <w:rFonts w:ascii="Arial" w:hAnsi="Arial" w:cs="Arial"/>
          <w:color w:val="0033CC"/>
          <w:u w:val="single"/>
        </w:rPr>
        <w:instrText xml:space="preserve"> REF _Ref329078661 \h </w:instrText>
      </w:r>
      <w:r w:rsidR="00F442D8" w:rsidRPr="00F442D8">
        <w:rPr>
          <w:rFonts w:ascii="Arial" w:hAnsi="Arial" w:cs="Arial"/>
          <w:color w:val="0033CC"/>
          <w:u w:val="single"/>
        </w:rPr>
        <w:instrText xml:space="preserve"> \* MERGEFORMAT </w:instrText>
      </w:r>
      <w:r w:rsidR="00E14CFE" w:rsidRPr="00F442D8">
        <w:rPr>
          <w:rFonts w:ascii="Arial" w:hAnsi="Arial" w:cs="Arial"/>
          <w:color w:val="0033CC"/>
          <w:u w:val="single"/>
        </w:rPr>
      </w:r>
      <w:r w:rsidR="00E14CFE" w:rsidRPr="00F442D8">
        <w:rPr>
          <w:rFonts w:ascii="Arial" w:hAnsi="Arial" w:cs="Arial"/>
          <w:color w:val="0033CC"/>
          <w:u w:val="single"/>
        </w:rPr>
        <w:fldChar w:fldCharType="separate"/>
      </w:r>
      <w:r w:rsidR="00E14CFE" w:rsidRPr="00F442D8">
        <w:rPr>
          <w:rFonts w:ascii="Arial" w:hAnsi="Arial" w:cs="Arial"/>
          <w:color w:val="0033CC"/>
          <w:u w:val="single"/>
        </w:rPr>
        <w:t xml:space="preserve">Table </w:t>
      </w:r>
      <w:r w:rsidR="00E14CFE" w:rsidRPr="00F442D8">
        <w:rPr>
          <w:rFonts w:ascii="Arial" w:hAnsi="Arial" w:cs="Arial"/>
          <w:noProof/>
          <w:color w:val="0033CC"/>
          <w:u w:val="single"/>
        </w:rPr>
        <w:t>1</w:t>
      </w:r>
      <w:r w:rsidR="00E14CFE" w:rsidRPr="00F442D8">
        <w:rPr>
          <w:rFonts w:ascii="Arial" w:hAnsi="Arial" w:cs="Arial"/>
          <w:color w:val="0033CC"/>
          <w:u w:val="single"/>
        </w:rPr>
        <w:t>: NINDS CDE Workgroup – Psychiatry Table</w:t>
      </w:r>
      <w:r w:rsidR="00E14CFE" w:rsidRPr="00F442D8">
        <w:rPr>
          <w:rFonts w:ascii="Arial" w:hAnsi="Arial" w:cs="Arial"/>
          <w:color w:val="0033CC"/>
          <w:u w:val="single"/>
        </w:rPr>
        <w:fldChar w:fldCharType="end"/>
      </w:r>
      <w:r w:rsidR="00E14CFE">
        <w:rPr>
          <w:rFonts w:ascii="Arial" w:hAnsi="Arial" w:cs="Arial"/>
        </w:rPr>
        <w:t>)</w:t>
      </w:r>
      <w:r w:rsidRPr="00E3587B">
        <w:rPr>
          <w:rFonts w:ascii="Arial" w:hAnsi="Arial" w:cs="Arial"/>
        </w:rPr>
        <w:t>. The</w:t>
      </w:r>
      <w:r w:rsidR="00EC7E0A" w:rsidRPr="00E3587B">
        <w:rPr>
          <w:rFonts w:ascii="Arial" w:hAnsi="Arial" w:cs="Arial"/>
        </w:rPr>
        <w:t xml:space="preserve"> </w:t>
      </w:r>
      <w:r w:rsidR="000B7CE1" w:rsidRPr="00E3587B">
        <w:rPr>
          <w:rFonts w:ascii="Arial" w:hAnsi="Arial" w:cs="Arial"/>
        </w:rPr>
        <w:t>“Strongly Recommended</w:t>
      </w:r>
      <w:r w:rsidRPr="00E3587B">
        <w:rPr>
          <w:rFonts w:ascii="Arial" w:hAnsi="Arial" w:cs="Arial"/>
        </w:rPr>
        <w:t>” i</w:t>
      </w:r>
      <w:r w:rsidR="00EC7E0A" w:rsidRPr="00E3587B">
        <w:rPr>
          <w:rFonts w:ascii="Arial" w:hAnsi="Arial" w:cs="Arial"/>
        </w:rPr>
        <w:t xml:space="preserve">nstruments on the Workgroup Table are </w:t>
      </w:r>
      <w:r w:rsidRPr="00E3587B">
        <w:rPr>
          <w:rFonts w:ascii="Arial" w:hAnsi="Arial" w:cs="Arial"/>
        </w:rPr>
        <w:t xml:space="preserve">included as </w:t>
      </w:r>
      <w:r w:rsidR="009630C5" w:rsidRPr="00E3587B">
        <w:rPr>
          <w:rFonts w:ascii="Arial" w:hAnsi="Arial" w:cs="Arial"/>
        </w:rPr>
        <w:t>s</w:t>
      </w:r>
      <w:r w:rsidRPr="00E3587B">
        <w:rPr>
          <w:rFonts w:ascii="Arial" w:hAnsi="Arial" w:cs="Arial"/>
        </w:rPr>
        <w:t xml:space="preserve">uggestions </w:t>
      </w:r>
      <w:r w:rsidR="00EC7E0A" w:rsidRPr="00E3587B">
        <w:rPr>
          <w:rFonts w:ascii="Arial" w:hAnsi="Arial" w:cs="Arial"/>
        </w:rPr>
        <w:t xml:space="preserve">for studies with a primary focus on a particular disorder (i.e., </w:t>
      </w:r>
      <w:r w:rsidR="000B7CE1" w:rsidRPr="00E3587B">
        <w:rPr>
          <w:rFonts w:ascii="Arial" w:hAnsi="Arial" w:cs="Arial"/>
        </w:rPr>
        <w:t xml:space="preserve">it is strongly recommended that </w:t>
      </w:r>
      <w:r w:rsidR="00EC7E0A" w:rsidRPr="00E3587B">
        <w:rPr>
          <w:rFonts w:ascii="Arial" w:hAnsi="Arial" w:cs="Arial"/>
        </w:rPr>
        <w:t>the Hamilt</w:t>
      </w:r>
      <w:r w:rsidR="000B7CE1" w:rsidRPr="00E3587B">
        <w:rPr>
          <w:rFonts w:ascii="Arial" w:hAnsi="Arial" w:cs="Arial"/>
        </w:rPr>
        <w:t>on Depression Rating Scale</w:t>
      </w:r>
      <w:r w:rsidR="00EC7E0A" w:rsidRPr="00E3587B">
        <w:rPr>
          <w:rFonts w:ascii="Arial" w:hAnsi="Arial" w:cs="Arial"/>
        </w:rPr>
        <w:t xml:space="preserve"> be </w:t>
      </w:r>
      <w:r w:rsidR="000B7CE1" w:rsidRPr="00E3587B">
        <w:rPr>
          <w:rFonts w:ascii="Arial" w:hAnsi="Arial" w:cs="Arial"/>
        </w:rPr>
        <w:t>at least one of the depression rating scales in a PD study</w:t>
      </w:r>
      <w:r w:rsidRPr="00E3587B">
        <w:rPr>
          <w:rFonts w:ascii="Arial" w:hAnsi="Arial" w:cs="Arial"/>
        </w:rPr>
        <w:t xml:space="preserve"> with a focus</w:t>
      </w:r>
      <w:r w:rsidR="000B7CE1" w:rsidRPr="00E3587B">
        <w:rPr>
          <w:rFonts w:ascii="Arial" w:hAnsi="Arial" w:cs="Arial"/>
        </w:rPr>
        <w:t xml:space="preserve"> on depression, in order to allow comparisons across studies</w:t>
      </w:r>
      <w:r w:rsidR="00EC7E0A" w:rsidRPr="00E3587B">
        <w:rPr>
          <w:rFonts w:ascii="Arial" w:hAnsi="Arial" w:cs="Arial"/>
        </w:rPr>
        <w:t>). The</w:t>
      </w:r>
      <w:r w:rsidRPr="00E3587B">
        <w:rPr>
          <w:rFonts w:ascii="Arial" w:hAnsi="Arial" w:cs="Arial"/>
        </w:rPr>
        <w:t xml:space="preserve"> Psychiatry Subgroup acknowledges that these</w:t>
      </w:r>
      <w:r w:rsidR="00EC7E0A" w:rsidRPr="00E3587B">
        <w:rPr>
          <w:rFonts w:ascii="Arial" w:hAnsi="Arial" w:cs="Arial"/>
        </w:rPr>
        <w:t xml:space="preserve"> instruments could not be recommended as “Core” </w:t>
      </w:r>
      <w:r w:rsidRPr="00E3587B">
        <w:rPr>
          <w:rFonts w:ascii="Arial" w:hAnsi="Arial" w:cs="Arial"/>
        </w:rPr>
        <w:t xml:space="preserve">or “Required” </w:t>
      </w:r>
      <w:r w:rsidR="00EC7E0A" w:rsidRPr="00E3587B">
        <w:rPr>
          <w:rFonts w:ascii="Arial" w:hAnsi="Arial" w:cs="Arial"/>
        </w:rPr>
        <w:t xml:space="preserve">in every PD study. </w:t>
      </w:r>
      <w:r w:rsidRPr="00E3587B">
        <w:rPr>
          <w:rFonts w:ascii="Arial" w:hAnsi="Arial" w:cs="Arial"/>
        </w:rPr>
        <w:t>However, i</w:t>
      </w:r>
      <w:r w:rsidR="00EC7E0A" w:rsidRPr="00E3587B">
        <w:rPr>
          <w:rFonts w:ascii="Arial" w:hAnsi="Arial" w:cs="Arial"/>
        </w:rPr>
        <w:t xml:space="preserve">f the </w:t>
      </w:r>
      <w:r w:rsidR="009630C5" w:rsidRPr="00E3587B">
        <w:rPr>
          <w:rFonts w:ascii="Arial" w:hAnsi="Arial" w:cs="Arial"/>
        </w:rPr>
        <w:t>MDS-</w:t>
      </w:r>
      <w:r w:rsidR="00EC7E0A" w:rsidRPr="00E3587B">
        <w:rPr>
          <w:rFonts w:ascii="Arial" w:hAnsi="Arial" w:cs="Arial"/>
        </w:rPr>
        <w:t xml:space="preserve"> UPDRS </w:t>
      </w:r>
      <w:r w:rsidR="00B91181" w:rsidRPr="00E3587B">
        <w:rPr>
          <w:rFonts w:ascii="Arial" w:hAnsi="Arial" w:cs="Arial"/>
        </w:rPr>
        <w:t>will</w:t>
      </w:r>
      <w:r w:rsidR="00EC7E0A" w:rsidRPr="00E3587B">
        <w:rPr>
          <w:rFonts w:ascii="Arial" w:hAnsi="Arial" w:cs="Arial"/>
        </w:rPr>
        <w:t xml:space="preserve"> be </w:t>
      </w:r>
      <w:r w:rsidRPr="00E3587B">
        <w:rPr>
          <w:rFonts w:ascii="Arial" w:hAnsi="Arial" w:cs="Arial"/>
        </w:rPr>
        <w:t>used as a “Core” instrument</w:t>
      </w:r>
      <w:r w:rsidR="00EC7E0A" w:rsidRPr="00E3587B">
        <w:rPr>
          <w:rFonts w:ascii="Arial" w:hAnsi="Arial" w:cs="Arial"/>
        </w:rPr>
        <w:t xml:space="preserve"> for all PD studies</w:t>
      </w:r>
      <w:r w:rsidR="00B91181" w:rsidRPr="00E3587B">
        <w:rPr>
          <w:rFonts w:ascii="Arial" w:hAnsi="Arial" w:cs="Arial"/>
        </w:rPr>
        <w:t xml:space="preserve">, </w:t>
      </w:r>
      <w:r w:rsidRPr="00E3587B">
        <w:rPr>
          <w:rFonts w:ascii="Arial" w:hAnsi="Arial" w:cs="Arial"/>
        </w:rPr>
        <w:t xml:space="preserve">then </w:t>
      </w:r>
      <w:r w:rsidR="00EC7E0A" w:rsidRPr="00E3587B">
        <w:rPr>
          <w:rFonts w:ascii="Arial" w:hAnsi="Arial" w:cs="Arial"/>
        </w:rPr>
        <w:t xml:space="preserve">at </w:t>
      </w:r>
      <w:r w:rsidR="00B91181" w:rsidRPr="00E3587B">
        <w:rPr>
          <w:rFonts w:ascii="Arial" w:hAnsi="Arial" w:cs="Arial"/>
        </w:rPr>
        <w:t xml:space="preserve">the very </w:t>
      </w:r>
      <w:r w:rsidR="00EC7E0A" w:rsidRPr="00E3587B">
        <w:rPr>
          <w:rFonts w:ascii="Arial" w:hAnsi="Arial" w:cs="Arial"/>
        </w:rPr>
        <w:t>least</w:t>
      </w:r>
      <w:r w:rsidR="00B91181" w:rsidRPr="00E3587B">
        <w:rPr>
          <w:rFonts w:ascii="Arial" w:hAnsi="Arial" w:cs="Arial"/>
        </w:rPr>
        <w:t>,</w:t>
      </w:r>
      <w:r w:rsidR="00EC7E0A" w:rsidRPr="00E3587B">
        <w:rPr>
          <w:rFonts w:ascii="Arial" w:hAnsi="Arial" w:cs="Arial"/>
        </w:rPr>
        <w:t xml:space="preserve"> minimal data will be collected in all studies for depression, psychosis, anxiety, apathy, </w:t>
      </w:r>
      <w:r w:rsidR="00EC7E0A" w:rsidRPr="00EC67F0">
        <w:rPr>
          <w:rFonts w:ascii="Arial" w:hAnsi="Arial" w:cs="Arial"/>
        </w:rPr>
        <w:t>and do</w:t>
      </w:r>
      <w:r w:rsidR="0077685E">
        <w:rPr>
          <w:rFonts w:ascii="Arial" w:hAnsi="Arial" w:cs="Arial"/>
        </w:rPr>
        <w:t xml:space="preserve">pamine dysregulation syndrome. </w:t>
      </w:r>
      <w:r w:rsidR="0008240E" w:rsidRPr="00EC67F0">
        <w:rPr>
          <w:rFonts w:ascii="Arial" w:hAnsi="Arial" w:cs="Arial"/>
        </w:rPr>
        <w:t>For additional details about the use of assessment instruments for common psychiatric disorders in PD, readers are referred to the recommendations of recent task forces</w:t>
      </w:r>
      <w:r w:rsidR="0008240E" w:rsidRPr="00EC67F0">
        <w:rPr>
          <w:rFonts w:ascii="Arial" w:hAnsi="Arial" w:cs="Arial"/>
        </w:rPr>
        <w:fldChar w:fldCharType="begin">
          <w:fldData xml:space="preserve">PFJlZm1hbj48Q2l0ZT48QXV0aG9yPkxlZW50amVucyBBRjwvQXV0aG9yPjxZZWFyPjIwMDg8L1ll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</w:fldData>
        </w:fldChar>
      </w:r>
      <w:r w:rsidR="0008240E" w:rsidRPr="00EC67F0">
        <w:rPr>
          <w:rFonts w:ascii="Arial" w:hAnsi="Arial" w:cs="Arial"/>
        </w:rPr>
        <w:instrText xml:space="preserve"> ADDIN REFMGR.CITE </w:instrText>
      </w:r>
      <w:r w:rsidR="0008240E" w:rsidRPr="00EC67F0">
        <w:rPr>
          <w:rFonts w:ascii="Arial" w:hAnsi="Arial" w:cs="Arial"/>
        </w:rPr>
        <w:fldChar w:fldCharType="begin">
          <w:fldData xml:space="preserve">PFJlZm1hbj48Q2l0ZT48QXV0aG9yPkxlZW50amVucyBBRjwvQXV0aG9yPjxZZWFyPjIwMDg8L1ll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</w:fldData>
        </w:fldChar>
      </w:r>
      <w:r w:rsidR="0008240E" w:rsidRPr="00EC67F0">
        <w:rPr>
          <w:rFonts w:ascii="Arial" w:hAnsi="Arial" w:cs="Arial"/>
        </w:rPr>
        <w:instrText xml:space="preserve"> ADDIN EN.CITE.DATA </w:instrText>
      </w:r>
      <w:r w:rsidR="0008240E" w:rsidRPr="00EC67F0">
        <w:rPr>
          <w:rFonts w:ascii="Arial" w:hAnsi="Arial" w:cs="Arial"/>
        </w:rPr>
      </w:r>
      <w:r w:rsidR="0008240E" w:rsidRPr="00EC67F0">
        <w:rPr>
          <w:rFonts w:ascii="Arial" w:hAnsi="Arial" w:cs="Arial"/>
        </w:rPr>
        <w:fldChar w:fldCharType="end"/>
      </w:r>
      <w:r w:rsidR="0008240E" w:rsidRPr="00EC67F0">
        <w:rPr>
          <w:rFonts w:ascii="Arial" w:hAnsi="Arial" w:cs="Arial"/>
        </w:rPr>
      </w:r>
      <w:r w:rsidR="0008240E" w:rsidRPr="00EC67F0">
        <w:rPr>
          <w:rFonts w:ascii="Arial" w:hAnsi="Arial" w:cs="Arial"/>
        </w:rPr>
        <w:fldChar w:fldCharType="separate"/>
      </w:r>
      <w:r w:rsidR="0008240E" w:rsidRPr="00EC67F0">
        <w:rPr>
          <w:rFonts w:ascii="Arial" w:hAnsi="Arial" w:cs="Arial"/>
          <w:noProof/>
          <w:vertAlign w:val="superscript"/>
        </w:rPr>
        <w:t>1-4</w:t>
      </w:r>
      <w:r w:rsidR="0008240E" w:rsidRPr="00EC67F0">
        <w:rPr>
          <w:rFonts w:ascii="Arial" w:hAnsi="Arial" w:cs="Arial"/>
        </w:rPr>
        <w:fldChar w:fldCharType="end"/>
      </w:r>
      <w:r w:rsidR="0008240E" w:rsidRPr="00EC67F0">
        <w:rPr>
          <w:rFonts w:ascii="Arial" w:hAnsi="Arial" w:cs="Arial"/>
        </w:rPr>
        <w:t>.</w:t>
      </w:r>
      <w:r w:rsidR="00681DF5">
        <w:rPr>
          <w:rFonts w:ascii="Arial" w:hAnsi="Arial" w:cs="Arial"/>
        </w:rPr>
        <w:t xml:space="preserve"> </w:t>
      </w:r>
      <w:r w:rsidR="00593359" w:rsidRPr="00EC67F0">
        <w:rPr>
          <w:rFonts w:ascii="Arial" w:hAnsi="Arial" w:cs="Arial"/>
        </w:rPr>
        <w:t>It is important to note that many instruments were validated against a DSM-IV-TR diagnosis, and instruments may need to be re-validated when DSM-V is published.</w:t>
      </w:r>
    </w:p>
    <w:p w:rsidR="00E642E4" w:rsidRPr="00E3587B" w:rsidRDefault="00C4564A" w:rsidP="00681DF5">
      <w:pPr>
        <w:pStyle w:val="Heading2"/>
      </w:pPr>
      <w:r w:rsidRPr="00E3587B">
        <w:t xml:space="preserve">. </w:t>
      </w:r>
      <w:r w:rsidR="00283951" w:rsidRPr="00E3587B">
        <w:t xml:space="preserve">Factors to Consider When Assessing </w:t>
      </w:r>
      <w:r w:rsidR="00AE5535" w:rsidRPr="00E3587B">
        <w:t>Psychiatric Symptoms in Parkinson's Disease</w:t>
      </w:r>
    </w:p>
    <w:p w:rsidR="0071208D" w:rsidRPr="0071208D" w:rsidRDefault="00E642E4" w:rsidP="0071208D">
      <w:pPr>
        <w:pStyle w:val="Heading3"/>
      </w:pPr>
      <w:r w:rsidRPr="0071208D">
        <w:t>Psychiatric disorders in Parkinson's disease</w:t>
      </w:r>
    </w:p>
    <w:p w:rsidR="00C4564A" w:rsidRPr="00E3587B" w:rsidRDefault="00C4564A" w:rsidP="0071208D">
      <w:pPr>
        <w:tabs>
          <w:tab w:val="left" w:pos="0"/>
        </w:tabs>
        <w:spacing w:before="120" w:after="60" w:line="240" w:lineRule="auto"/>
        <w:ind w:left="360"/>
        <w:rPr>
          <w:rFonts w:ascii="Arial" w:hAnsi="Arial" w:cs="Arial"/>
          <w:u w:val="single"/>
        </w:rPr>
      </w:pPr>
      <w:r w:rsidRPr="00E3587B">
        <w:rPr>
          <w:rFonts w:ascii="Arial" w:hAnsi="Arial" w:cs="Arial"/>
        </w:rPr>
        <w:t>Numerous psychiatric symptoms or disorders can occur in the context of Parkinson’s disease (PD), including depression, anxiety, apathy, psychosis, impulse control disorders, and disor</w:t>
      </w:r>
      <w:r w:rsidR="0071208D">
        <w:rPr>
          <w:rFonts w:ascii="Arial" w:hAnsi="Arial" w:cs="Arial"/>
        </w:rPr>
        <w:t xml:space="preserve">ders of sleep and wakefulness. </w:t>
      </w:r>
      <w:r w:rsidRPr="00E3587B">
        <w:rPr>
          <w:rFonts w:ascii="Arial" w:hAnsi="Arial" w:cs="Arial"/>
        </w:rPr>
        <w:t>The etiology of psychiatric disorders is likely complex, including to varying degrees psychological factors, disease-related pathophysiological changes, and</w:t>
      </w:r>
      <w:r w:rsidR="0071208D">
        <w:rPr>
          <w:rFonts w:ascii="Arial" w:hAnsi="Arial" w:cs="Arial"/>
        </w:rPr>
        <w:t xml:space="preserve"> PD treatment-induced effects. </w:t>
      </w:r>
      <w:r w:rsidRPr="00E3587B">
        <w:rPr>
          <w:rFonts w:ascii="Arial" w:hAnsi="Arial" w:cs="Arial"/>
        </w:rPr>
        <w:t>There is increasing awareness of the importance of psychiatric complications in PD, including their deleterious effects on function, quality of life, long-term outcomes, and caregiver burden.</w:t>
      </w:r>
    </w:p>
    <w:p w:rsidR="0071208D" w:rsidRPr="0071208D" w:rsidRDefault="00E642E4" w:rsidP="0071208D">
      <w:pPr>
        <w:pStyle w:val="Heading3"/>
      </w:pPr>
      <w:r w:rsidRPr="00E3587B">
        <w:t>Heterogeneity</w:t>
      </w:r>
    </w:p>
    <w:p w:rsidR="00C4564A" w:rsidRPr="006560E6" w:rsidRDefault="00543DC2" w:rsidP="0071208D">
      <w:pPr>
        <w:tabs>
          <w:tab w:val="left" w:pos="0"/>
        </w:tabs>
        <w:spacing w:before="120" w:after="60" w:line="240" w:lineRule="auto"/>
        <w:ind w:left="360"/>
        <w:rPr>
          <w:rFonts w:ascii="Arial" w:hAnsi="Arial" w:cs="Arial"/>
          <w:u w:val="single"/>
        </w:rPr>
      </w:pPr>
      <w:r w:rsidRPr="00E3587B">
        <w:rPr>
          <w:rFonts w:ascii="Arial" w:hAnsi="Arial" w:cs="Arial"/>
        </w:rPr>
        <w:t>There is significant inter-individual heterogeneity in the presentation and course of psychiatric disorders in PD, making it difficult to characterize the phenomenology and epidemiology of psychiatric disorders in this population at a group level.</w:t>
      </w:r>
      <w:r w:rsidR="0077685E">
        <w:rPr>
          <w:rFonts w:ascii="Arial" w:hAnsi="Arial" w:cs="Arial"/>
        </w:rPr>
        <w:t xml:space="preserve"> </w:t>
      </w:r>
      <w:r w:rsidR="00527870" w:rsidRPr="00E3587B">
        <w:rPr>
          <w:rFonts w:ascii="Arial" w:hAnsi="Arial" w:cs="Arial"/>
        </w:rPr>
        <w:t>For</w:t>
      </w:r>
      <w:r w:rsidR="00527870">
        <w:rPr>
          <w:rFonts w:ascii="Arial" w:hAnsi="Arial" w:cs="Arial"/>
        </w:rPr>
        <w:t xml:space="preserve"> instance, depression in PD may range from mild to severe, symptoms may cycle or be persistent over time, and symptom profiles can vary </w:t>
      </w:r>
      <w:r w:rsidR="002548C2">
        <w:rPr>
          <w:rFonts w:ascii="Arial" w:hAnsi="Arial" w:cs="Arial"/>
        </w:rPr>
        <w:t xml:space="preserve">significantly </w:t>
      </w:r>
      <w:r w:rsidR="00527870">
        <w:rPr>
          <w:rFonts w:ascii="Arial" w:hAnsi="Arial" w:cs="Arial"/>
        </w:rPr>
        <w:t>between patients.</w:t>
      </w:r>
    </w:p>
    <w:p w:rsidR="0071208D" w:rsidRPr="0071208D" w:rsidRDefault="00E642E4" w:rsidP="0071208D">
      <w:pPr>
        <w:pStyle w:val="Heading3"/>
      </w:pPr>
      <w:r w:rsidRPr="00062E75">
        <w:t>Variability</w:t>
      </w:r>
    </w:p>
    <w:p w:rsidR="00707DDE" w:rsidRPr="00062E75" w:rsidRDefault="002548C2" w:rsidP="0071208D">
      <w:pPr>
        <w:tabs>
          <w:tab w:val="left" w:pos="360"/>
        </w:tabs>
        <w:spacing w:before="120" w:after="60" w:line="240" w:lineRule="auto"/>
        <w:ind w:left="360"/>
        <w:rPr>
          <w:rFonts w:ascii="Arial" w:hAnsi="Arial" w:cs="Arial"/>
          <w:u w:val="single"/>
        </w:rPr>
      </w:pPr>
      <w:r w:rsidRPr="00062E75">
        <w:rPr>
          <w:rFonts w:ascii="Arial" w:hAnsi="Arial" w:cs="Arial"/>
        </w:rPr>
        <w:t>There can be</w:t>
      </w:r>
      <w:r w:rsidR="002A4975" w:rsidRPr="00062E75">
        <w:rPr>
          <w:rFonts w:ascii="Arial" w:hAnsi="Arial" w:cs="Arial"/>
        </w:rPr>
        <w:t xml:space="preserve"> significant intra-individual variability in the presentation of psychiatric symptoms in PD, making it dif</w:t>
      </w:r>
      <w:r w:rsidR="00047335" w:rsidRPr="00062E75">
        <w:rPr>
          <w:rFonts w:ascii="Arial" w:hAnsi="Arial" w:cs="Arial"/>
        </w:rPr>
        <w:t>ficult at times to average</w:t>
      </w:r>
      <w:r w:rsidR="002A4975" w:rsidRPr="00062E75">
        <w:rPr>
          <w:rFonts w:ascii="Arial" w:hAnsi="Arial" w:cs="Arial"/>
        </w:rPr>
        <w:t xml:space="preserve"> symptoms over an extended period and highlighting the importance of establishing as much consistency as possible when </w:t>
      </w:r>
      <w:r w:rsidRPr="00062E75">
        <w:rPr>
          <w:rFonts w:ascii="Arial" w:hAnsi="Arial" w:cs="Arial"/>
        </w:rPr>
        <w:t>repeated assessments are performed</w:t>
      </w:r>
      <w:r w:rsidR="002A4975" w:rsidRPr="00062E75">
        <w:rPr>
          <w:rFonts w:ascii="Arial" w:hAnsi="Arial" w:cs="Arial"/>
        </w:rPr>
        <w:t>.</w:t>
      </w:r>
      <w:r w:rsidR="0071208D">
        <w:rPr>
          <w:rFonts w:ascii="Arial" w:hAnsi="Arial" w:cs="Arial"/>
        </w:rPr>
        <w:t xml:space="preserve"> </w:t>
      </w:r>
      <w:r w:rsidR="00283951" w:rsidRPr="00062E75">
        <w:rPr>
          <w:rFonts w:ascii="Arial" w:hAnsi="Arial" w:cs="Arial"/>
        </w:rPr>
        <w:t>For instance, patients with motor fluctuations may experience significant dysphoria or anxiety during "off" periods, but may be euthymic during "on" periods.</w:t>
      </w:r>
    </w:p>
    <w:p w:rsidR="0071208D" w:rsidRPr="0071208D" w:rsidRDefault="00E642E4" w:rsidP="0071208D">
      <w:pPr>
        <w:pStyle w:val="Heading3"/>
      </w:pPr>
      <w:r w:rsidRPr="00062E75">
        <w:t>Co-morbidity</w:t>
      </w:r>
    </w:p>
    <w:p w:rsidR="001435F1" w:rsidRPr="00062E75" w:rsidRDefault="009D3EE4" w:rsidP="0071208D">
      <w:pPr>
        <w:tabs>
          <w:tab w:val="left" w:pos="360"/>
        </w:tabs>
        <w:spacing w:before="120" w:after="60" w:line="240" w:lineRule="auto"/>
        <w:ind w:left="360"/>
        <w:rPr>
          <w:rFonts w:ascii="Arial" w:hAnsi="Arial" w:cs="Arial"/>
          <w:u w:val="single"/>
        </w:rPr>
      </w:pPr>
      <w:r w:rsidRPr="00062E75">
        <w:rPr>
          <w:rFonts w:ascii="Arial" w:hAnsi="Arial" w:cs="Arial"/>
        </w:rPr>
        <w:t>Psychiatric disorders in PD are highly co-morbid in general</w:t>
      </w:r>
      <w:r w:rsidR="002548C2" w:rsidRPr="00062E75">
        <w:rPr>
          <w:rFonts w:ascii="Arial" w:hAnsi="Arial" w:cs="Arial"/>
        </w:rPr>
        <w:t xml:space="preserve"> (e.g., depressive and anxiety disorders)</w:t>
      </w:r>
      <w:r w:rsidRPr="00062E75">
        <w:rPr>
          <w:rFonts w:ascii="Arial" w:hAnsi="Arial" w:cs="Arial"/>
        </w:rPr>
        <w:t xml:space="preserve">, and many </w:t>
      </w:r>
      <w:r w:rsidR="002548C2" w:rsidRPr="00062E75">
        <w:rPr>
          <w:rFonts w:ascii="Arial" w:hAnsi="Arial" w:cs="Arial"/>
        </w:rPr>
        <w:t xml:space="preserve">psychiatric </w:t>
      </w:r>
      <w:r w:rsidRPr="00062E75">
        <w:rPr>
          <w:rFonts w:ascii="Arial" w:hAnsi="Arial" w:cs="Arial"/>
        </w:rPr>
        <w:t>disorders are also associa</w:t>
      </w:r>
      <w:r w:rsidR="0071208D">
        <w:rPr>
          <w:rFonts w:ascii="Arial" w:hAnsi="Arial" w:cs="Arial"/>
        </w:rPr>
        <w:t xml:space="preserve">ted with cognitive impairment. </w:t>
      </w:r>
      <w:r w:rsidR="00470A37" w:rsidRPr="00062E75">
        <w:rPr>
          <w:rFonts w:ascii="Arial" w:hAnsi="Arial" w:cs="Arial"/>
        </w:rPr>
        <w:t>Therefor</w:t>
      </w:r>
      <w:r w:rsidR="002548C2" w:rsidRPr="00062E75">
        <w:rPr>
          <w:rFonts w:ascii="Arial" w:hAnsi="Arial" w:cs="Arial"/>
        </w:rPr>
        <w:t xml:space="preserve">e, if </w:t>
      </w:r>
      <w:r w:rsidR="00470A37" w:rsidRPr="00062E75">
        <w:rPr>
          <w:rFonts w:ascii="Arial" w:hAnsi="Arial" w:cs="Arial"/>
        </w:rPr>
        <w:t>a particular psychiatric disorder</w:t>
      </w:r>
      <w:r w:rsidR="002548C2" w:rsidRPr="00062E75">
        <w:rPr>
          <w:rFonts w:ascii="Arial" w:hAnsi="Arial" w:cs="Arial"/>
        </w:rPr>
        <w:t xml:space="preserve"> is assessed</w:t>
      </w:r>
      <w:r w:rsidR="00470A37" w:rsidRPr="00062E75">
        <w:rPr>
          <w:rFonts w:ascii="Arial" w:hAnsi="Arial" w:cs="Arial"/>
        </w:rPr>
        <w:t>, one might</w:t>
      </w:r>
      <w:r w:rsidR="002548C2" w:rsidRPr="00062E75">
        <w:rPr>
          <w:rFonts w:ascii="Arial" w:hAnsi="Arial" w:cs="Arial"/>
        </w:rPr>
        <w:t xml:space="preserve"> also</w:t>
      </w:r>
      <w:r w:rsidR="00470A37" w:rsidRPr="00062E75">
        <w:rPr>
          <w:rFonts w:ascii="Arial" w:hAnsi="Arial" w:cs="Arial"/>
        </w:rPr>
        <w:t xml:space="preserve"> consider assessment o</w:t>
      </w:r>
      <w:r w:rsidR="0077685E">
        <w:rPr>
          <w:rFonts w:ascii="Arial" w:hAnsi="Arial" w:cs="Arial"/>
        </w:rPr>
        <w:t xml:space="preserve">f common co-morbid conditions. </w:t>
      </w:r>
      <w:r w:rsidR="00470A37" w:rsidRPr="00062E75">
        <w:rPr>
          <w:rFonts w:ascii="Arial" w:hAnsi="Arial" w:cs="Arial"/>
        </w:rPr>
        <w:t>In addition, s</w:t>
      </w:r>
      <w:r w:rsidRPr="00062E75">
        <w:rPr>
          <w:rFonts w:ascii="Arial" w:hAnsi="Arial" w:cs="Arial"/>
        </w:rPr>
        <w:t xml:space="preserve">ome instruments purported to assess signs and symptoms of a </w:t>
      </w:r>
      <w:r w:rsidR="002548C2" w:rsidRPr="00062E75">
        <w:rPr>
          <w:rFonts w:ascii="Arial" w:hAnsi="Arial" w:cs="Arial"/>
        </w:rPr>
        <w:t xml:space="preserve">particular </w:t>
      </w:r>
      <w:r w:rsidRPr="00062E75">
        <w:rPr>
          <w:rFonts w:ascii="Arial" w:hAnsi="Arial" w:cs="Arial"/>
        </w:rPr>
        <w:t>disorder may assess symptoms of a common co-morbid disorder (e.g., some depression rating instruments contain anxiety items</w:t>
      </w:r>
      <w:r w:rsidR="002548C2" w:rsidRPr="00062E75">
        <w:rPr>
          <w:rFonts w:ascii="Arial" w:hAnsi="Arial" w:cs="Arial"/>
        </w:rPr>
        <w:t xml:space="preserve"> as well</w:t>
      </w:r>
      <w:r w:rsidRPr="00062E75">
        <w:rPr>
          <w:rFonts w:ascii="Arial" w:hAnsi="Arial" w:cs="Arial"/>
        </w:rPr>
        <w:t>).</w:t>
      </w:r>
      <w:r w:rsidR="00D729DC" w:rsidRPr="00062E75">
        <w:rPr>
          <w:rFonts w:ascii="Arial" w:hAnsi="Arial" w:cs="Arial"/>
        </w:rPr>
        <w:t xml:space="preserve"> </w:t>
      </w:r>
      <w:r w:rsidR="00707DDE" w:rsidRPr="00062E75">
        <w:rPr>
          <w:rFonts w:ascii="Arial" w:hAnsi="Arial" w:cs="Arial"/>
        </w:rPr>
        <w:t>T</w:t>
      </w:r>
      <w:r w:rsidR="00D729DC" w:rsidRPr="00062E75">
        <w:rPr>
          <w:rFonts w:ascii="Arial" w:hAnsi="Arial" w:cs="Arial"/>
        </w:rPr>
        <w:t>he i</w:t>
      </w:r>
      <w:r w:rsidR="00707DDE" w:rsidRPr="00062E75">
        <w:rPr>
          <w:rFonts w:ascii="Arial" w:hAnsi="Arial" w:cs="Arial"/>
        </w:rPr>
        <w:t xml:space="preserve">nfluence of co-morbid psychiatric disorders on scale performance </w:t>
      </w:r>
      <w:r w:rsidR="00D729DC" w:rsidRPr="00062E75">
        <w:rPr>
          <w:rFonts w:ascii="Arial" w:hAnsi="Arial" w:cs="Arial"/>
        </w:rPr>
        <w:t xml:space="preserve">has not been </w:t>
      </w:r>
      <w:r w:rsidR="00707DDE" w:rsidRPr="00062E75">
        <w:rPr>
          <w:rFonts w:ascii="Arial" w:hAnsi="Arial" w:cs="Arial"/>
        </w:rPr>
        <w:t xml:space="preserve">well studied. </w:t>
      </w:r>
    </w:p>
    <w:p w:rsidR="0071208D" w:rsidRPr="0071208D" w:rsidRDefault="009D3EE4" w:rsidP="0071208D">
      <w:pPr>
        <w:pStyle w:val="Heading3"/>
      </w:pPr>
      <w:r w:rsidRPr="00062E75">
        <w:t>Symptom overlap</w:t>
      </w:r>
    </w:p>
    <w:p w:rsidR="0023039B" w:rsidRPr="00062E75" w:rsidRDefault="006E326E" w:rsidP="0071208D">
      <w:pPr>
        <w:tabs>
          <w:tab w:val="left" w:pos="360"/>
        </w:tabs>
        <w:spacing w:before="120" w:after="60" w:line="240" w:lineRule="auto"/>
        <w:ind w:left="360"/>
        <w:rPr>
          <w:rFonts w:ascii="Arial" w:hAnsi="Arial" w:cs="Arial"/>
          <w:u w:val="single"/>
        </w:rPr>
      </w:pPr>
      <w:r w:rsidRPr="00062E75">
        <w:rPr>
          <w:rFonts w:ascii="Arial" w:hAnsi="Arial" w:cs="Arial"/>
        </w:rPr>
        <w:t xml:space="preserve">Psychiatric symptoms occurring in the context of PD may be due </w:t>
      </w:r>
      <w:r w:rsidR="0000612F" w:rsidRPr="00062E75">
        <w:rPr>
          <w:rFonts w:ascii="Arial" w:hAnsi="Arial" w:cs="Arial"/>
        </w:rPr>
        <w:t xml:space="preserve">either </w:t>
      </w:r>
      <w:r w:rsidRPr="00062E75">
        <w:rPr>
          <w:rFonts w:ascii="Arial" w:hAnsi="Arial" w:cs="Arial"/>
        </w:rPr>
        <w:t>to an underlying co-morbid ps</w:t>
      </w:r>
      <w:r w:rsidR="0000612F" w:rsidRPr="00062E75">
        <w:rPr>
          <w:rFonts w:ascii="Arial" w:hAnsi="Arial" w:cs="Arial"/>
        </w:rPr>
        <w:t>ychiatric disorder or</w:t>
      </w:r>
      <w:r w:rsidRPr="00062E75">
        <w:rPr>
          <w:rFonts w:ascii="Arial" w:hAnsi="Arial" w:cs="Arial"/>
        </w:rPr>
        <w:t xml:space="preserve"> to the </w:t>
      </w:r>
      <w:r w:rsidR="0071208D">
        <w:rPr>
          <w:rFonts w:ascii="Arial" w:hAnsi="Arial" w:cs="Arial"/>
        </w:rPr>
        <w:t xml:space="preserve">effects of the disease itself. </w:t>
      </w:r>
      <w:r w:rsidRPr="00062E75">
        <w:rPr>
          <w:rFonts w:ascii="Arial" w:hAnsi="Arial" w:cs="Arial"/>
        </w:rPr>
        <w:t>For instance, certain symptoms of major depressive episode (e.g., insomnia or hypersomnia, fatigue, and psychomotor retardation) are common in P</w:t>
      </w:r>
      <w:r w:rsidR="0077685E">
        <w:rPr>
          <w:rFonts w:ascii="Arial" w:hAnsi="Arial" w:cs="Arial"/>
        </w:rPr>
        <w:t xml:space="preserve">D patients without depression. </w:t>
      </w:r>
      <w:r w:rsidRPr="00062E75">
        <w:rPr>
          <w:rFonts w:ascii="Arial" w:hAnsi="Arial" w:cs="Arial"/>
        </w:rPr>
        <w:t>Ratings of such symptoms can be based on an inclusive, exclusive, or eti</w:t>
      </w:r>
      <w:r w:rsidR="0000612F" w:rsidRPr="00062E75">
        <w:rPr>
          <w:rFonts w:ascii="Arial" w:hAnsi="Arial" w:cs="Arial"/>
        </w:rPr>
        <w:t xml:space="preserve">ologic approach, and </w:t>
      </w:r>
      <w:r w:rsidRPr="00062E75">
        <w:rPr>
          <w:rFonts w:ascii="Arial" w:hAnsi="Arial" w:cs="Arial"/>
        </w:rPr>
        <w:t xml:space="preserve">the </w:t>
      </w:r>
      <w:r w:rsidR="0000612F" w:rsidRPr="00062E75">
        <w:rPr>
          <w:rFonts w:ascii="Arial" w:hAnsi="Arial" w:cs="Arial"/>
        </w:rPr>
        <w:t xml:space="preserve">general </w:t>
      </w:r>
      <w:r w:rsidRPr="00062E75">
        <w:rPr>
          <w:rFonts w:ascii="Arial" w:hAnsi="Arial" w:cs="Arial"/>
        </w:rPr>
        <w:t>recommendation is to use an inclusive approach.</w:t>
      </w:r>
    </w:p>
    <w:p w:rsidR="0071208D" w:rsidRPr="0071208D" w:rsidRDefault="0023039B" w:rsidP="0071208D">
      <w:pPr>
        <w:pStyle w:val="Heading3"/>
      </w:pPr>
      <w:r w:rsidRPr="00062E75">
        <w:t>Effect of P</w:t>
      </w:r>
      <w:bookmarkStart w:id="0" w:name="_GoBack"/>
      <w:bookmarkEnd w:id="0"/>
      <w:r w:rsidRPr="00062E75">
        <w:t>D medications</w:t>
      </w:r>
    </w:p>
    <w:p w:rsidR="0023039B" w:rsidRPr="00000499" w:rsidRDefault="00000499" w:rsidP="0071208D">
      <w:pPr>
        <w:tabs>
          <w:tab w:val="left" w:pos="360"/>
        </w:tabs>
        <w:spacing w:before="120" w:after="60" w:line="240" w:lineRule="auto"/>
        <w:ind w:left="360"/>
        <w:rPr>
          <w:rFonts w:ascii="Arial" w:hAnsi="Arial" w:cs="Arial"/>
          <w:u w:val="single"/>
        </w:rPr>
      </w:pPr>
      <w:r w:rsidRPr="00062E75">
        <w:rPr>
          <w:rFonts w:ascii="Arial" w:hAnsi="Arial" w:cs="Arial"/>
        </w:rPr>
        <w:lastRenderedPageBreak/>
        <w:t xml:space="preserve">The effects of standard PD pharmacotherapies (e.g., levodopa, dopamine agonists, and MAO-B inhibitors) on psychiatric </w:t>
      </w:r>
      <w:r w:rsidR="008F53C4" w:rsidRPr="00062E75">
        <w:rPr>
          <w:rFonts w:ascii="Arial" w:hAnsi="Arial" w:cs="Arial"/>
        </w:rPr>
        <w:t xml:space="preserve">and cognitive </w:t>
      </w:r>
      <w:r w:rsidR="00195033" w:rsidRPr="00062E75">
        <w:rPr>
          <w:rFonts w:ascii="Arial" w:hAnsi="Arial" w:cs="Arial"/>
        </w:rPr>
        <w:t>symptoms</w:t>
      </w:r>
      <w:r w:rsidR="0077685E">
        <w:rPr>
          <w:rFonts w:ascii="Arial" w:hAnsi="Arial" w:cs="Arial"/>
        </w:rPr>
        <w:t xml:space="preserve"> in PD remains unclear. </w:t>
      </w:r>
      <w:r w:rsidR="00BD2F90" w:rsidRPr="00062E75">
        <w:rPr>
          <w:rFonts w:ascii="Arial" w:hAnsi="Arial" w:cs="Arial"/>
        </w:rPr>
        <w:t xml:space="preserve">Important </w:t>
      </w:r>
      <w:r w:rsidR="007F1178" w:rsidRPr="00062E75">
        <w:rPr>
          <w:rFonts w:ascii="Arial" w:hAnsi="Arial" w:cs="Arial"/>
        </w:rPr>
        <w:t xml:space="preserve">patient-level </w:t>
      </w:r>
      <w:r w:rsidR="00BD2F90" w:rsidRPr="00062E75">
        <w:rPr>
          <w:rFonts w:ascii="Arial" w:hAnsi="Arial" w:cs="Arial"/>
        </w:rPr>
        <w:t>variables in this</w:t>
      </w:r>
      <w:r w:rsidR="00BD2F90">
        <w:rPr>
          <w:rFonts w:ascii="Arial" w:hAnsi="Arial" w:cs="Arial"/>
        </w:rPr>
        <w:t xml:space="preserve"> regard likely include stage of disease, </w:t>
      </w:r>
      <w:r w:rsidR="007F1178">
        <w:rPr>
          <w:rFonts w:ascii="Arial" w:hAnsi="Arial" w:cs="Arial"/>
        </w:rPr>
        <w:t xml:space="preserve">specific </w:t>
      </w:r>
      <w:r w:rsidR="00BD2F90">
        <w:rPr>
          <w:rFonts w:ascii="Arial" w:hAnsi="Arial" w:cs="Arial"/>
        </w:rPr>
        <w:t xml:space="preserve">medication dosage, total medication exposure, and baseline level of cognitive impairment. </w:t>
      </w:r>
    </w:p>
    <w:p w:rsidR="0071208D" w:rsidRPr="0071208D" w:rsidRDefault="00000499" w:rsidP="0071208D">
      <w:pPr>
        <w:pStyle w:val="Heading3"/>
      </w:pPr>
      <w:r w:rsidRPr="006560E6">
        <w:t>Functional neurosurgery</w:t>
      </w:r>
    </w:p>
    <w:p w:rsidR="00000499" w:rsidRPr="0037448A" w:rsidRDefault="00195033" w:rsidP="0071208D">
      <w:pPr>
        <w:tabs>
          <w:tab w:val="left" w:pos="360"/>
        </w:tabs>
        <w:spacing w:before="120" w:after="60" w:line="240" w:lineRule="auto"/>
        <w:ind w:left="360"/>
        <w:rPr>
          <w:rFonts w:ascii="Arial" w:hAnsi="Arial" w:cs="Arial"/>
          <w:u w:val="single"/>
        </w:rPr>
      </w:pPr>
      <w:r>
        <w:rPr>
          <w:rFonts w:ascii="Arial" w:hAnsi="Arial" w:cs="Arial"/>
        </w:rPr>
        <w:t xml:space="preserve">The effects of functional neurosurgery, specifically deep brain stimulation (DBS), on psychiatric </w:t>
      </w:r>
      <w:r w:rsidR="008F53C4">
        <w:rPr>
          <w:rFonts w:ascii="Arial" w:hAnsi="Arial" w:cs="Arial"/>
        </w:rPr>
        <w:t xml:space="preserve">and cognitive </w:t>
      </w:r>
      <w:r w:rsidR="0077685E">
        <w:rPr>
          <w:rFonts w:ascii="Arial" w:hAnsi="Arial" w:cs="Arial"/>
        </w:rPr>
        <w:t xml:space="preserve">symptoms also remains unclear. </w:t>
      </w:r>
      <w:r>
        <w:rPr>
          <w:rFonts w:ascii="Arial" w:hAnsi="Arial" w:cs="Arial"/>
        </w:rPr>
        <w:t>Both improvement and worsening in particular symptoms have been reported, suggesting significant inter-individual variability.</w:t>
      </w:r>
      <w:r w:rsidR="0077685E">
        <w:rPr>
          <w:rFonts w:ascii="Arial" w:hAnsi="Arial" w:cs="Arial"/>
        </w:rPr>
        <w:t xml:space="preserve"> </w:t>
      </w:r>
      <w:r w:rsidR="009F2C9B">
        <w:rPr>
          <w:rFonts w:ascii="Arial" w:hAnsi="Arial" w:cs="Arial"/>
        </w:rPr>
        <w:t>Important patient-level variables in this regard include pre-operative psychiatric and cognitive status and post-operative changes in PD pharmacotherapy.</w:t>
      </w:r>
    </w:p>
    <w:p w:rsidR="0071208D" w:rsidRPr="0071208D" w:rsidRDefault="00E642E4" w:rsidP="0071208D">
      <w:pPr>
        <w:pStyle w:val="Heading3"/>
      </w:pPr>
      <w:r w:rsidRPr="00E3587B">
        <w:t xml:space="preserve">At-risk </w:t>
      </w:r>
      <w:r w:rsidR="00045823" w:rsidRPr="00E3587B">
        <w:t xml:space="preserve">populations for </w:t>
      </w:r>
      <w:r w:rsidRPr="00E3587B">
        <w:t>PD</w:t>
      </w:r>
    </w:p>
    <w:p w:rsidR="00E642E4" w:rsidRPr="00E3587B" w:rsidRDefault="00045823" w:rsidP="0071208D">
      <w:pPr>
        <w:tabs>
          <w:tab w:val="left" w:pos="360"/>
        </w:tabs>
        <w:spacing w:before="120" w:after="60" w:line="240" w:lineRule="auto"/>
        <w:ind w:left="360"/>
        <w:rPr>
          <w:rFonts w:ascii="Arial" w:hAnsi="Arial" w:cs="Arial"/>
          <w:u w:val="single"/>
        </w:rPr>
      </w:pPr>
      <w:r w:rsidRPr="00E3587B">
        <w:rPr>
          <w:rFonts w:ascii="Arial" w:hAnsi="Arial" w:cs="Arial"/>
        </w:rPr>
        <w:t>Certain non-motor</w:t>
      </w:r>
      <w:r w:rsidR="00AE71AD" w:rsidRPr="00E3587B">
        <w:rPr>
          <w:rFonts w:ascii="Arial" w:hAnsi="Arial" w:cs="Arial"/>
        </w:rPr>
        <w:t xml:space="preserve"> disorders may occur as part </w:t>
      </w:r>
      <w:r w:rsidR="0077685E">
        <w:rPr>
          <w:rFonts w:ascii="Arial" w:hAnsi="Arial" w:cs="Arial"/>
        </w:rPr>
        <w:t xml:space="preserve">of a pre-motor syndrome in PD. </w:t>
      </w:r>
      <w:r w:rsidR="00AE71AD" w:rsidRPr="00E3587B">
        <w:rPr>
          <w:rFonts w:ascii="Arial" w:hAnsi="Arial" w:cs="Arial"/>
        </w:rPr>
        <w:t xml:space="preserve">These include depression, anxiety, and rapid eye movement </w:t>
      </w:r>
      <w:r w:rsidR="00681DF5">
        <w:rPr>
          <w:rFonts w:ascii="Arial" w:hAnsi="Arial" w:cs="Arial"/>
        </w:rPr>
        <w:t xml:space="preserve">behavior disorder (RBD). </w:t>
      </w:r>
      <w:r w:rsidR="00AE71AD" w:rsidRPr="00E3587B">
        <w:rPr>
          <w:rFonts w:ascii="Arial" w:hAnsi="Arial" w:cs="Arial"/>
        </w:rPr>
        <w:t>When studying an enriched at-risk population for PD, consideration should be given to assessing these disorders.</w:t>
      </w:r>
    </w:p>
    <w:p w:rsidR="0071208D" w:rsidRPr="0071208D" w:rsidRDefault="00E642E4" w:rsidP="0071208D">
      <w:pPr>
        <w:pStyle w:val="Heading3"/>
      </w:pPr>
      <w:r w:rsidRPr="00E3587B">
        <w:t>De novo or early PD</w:t>
      </w:r>
    </w:p>
    <w:p w:rsidR="00E642E4" w:rsidRPr="00E3587B" w:rsidRDefault="008F53C4" w:rsidP="0071208D">
      <w:pPr>
        <w:tabs>
          <w:tab w:val="left" w:pos="360"/>
        </w:tabs>
        <w:spacing w:before="120" w:after="60" w:line="240" w:lineRule="auto"/>
        <w:ind w:left="360"/>
        <w:rPr>
          <w:rFonts w:ascii="Arial" w:hAnsi="Arial" w:cs="Arial"/>
          <w:u w:val="single"/>
        </w:rPr>
      </w:pPr>
      <w:r w:rsidRPr="00E3587B">
        <w:rPr>
          <w:rFonts w:ascii="Arial" w:hAnsi="Arial" w:cs="Arial"/>
        </w:rPr>
        <w:t xml:space="preserve">Although many psychiatric symptoms and disorders become increasing common with </w:t>
      </w:r>
      <w:r w:rsidR="002450D7" w:rsidRPr="00E3587B">
        <w:rPr>
          <w:rFonts w:ascii="Arial" w:hAnsi="Arial" w:cs="Arial"/>
        </w:rPr>
        <w:t>advancing disease severity, a full range of psychiatric and cognitive complications can be present early</w:t>
      </w:r>
      <w:r w:rsidR="00681DF5">
        <w:rPr>
          <w:rFonts w:ascii="Arial" w:hAnsi="Arial" w:cs="Arial"/>
        </w:rPr>
        <w:t xml:space="preserve"> in the course of the disease. </w:t>
      </w:r>
      <w:r w:rsidR="002450D7" w:rsidRPr="00E3587B">
        <w:rPr>
          <w:rFonts w:ascii="Arial" w:hAnsi="Arial" w:cs="Arial"/>
        </w:rPr>
        <w:t>Thus, at disease onset depression, anxiety, and cog</w:t>
      </w:r>
      <w:r w:rsidR="000F5AF5" w:rsidRPr="00E3587B">
        <w:rPr>
          <w:rFonts w:ascii="Arial" w:hAnsi="Arial" w:cs="Arial"/>
        </w:rPr>
        <w:t>nitive deficits may</w:t>
      </w:r>
      <w:r w:rsidR="002450D7" w:rsidRPr="00E3587B">
        <w:rPr>
          <w:rFonts w:ascii="Arial" w:hAnsi="Arial" w:cs="Arial"/>
        </w:rPr>
        <w:t xml:space="preserve"> be present, and in early PD psychosis can occur in the context of exposure to PD pharmacotherapy.</w:t>
      </w:r>
    </w:p>
    <w:p w:rsidR="0071208D" w:rsidRPr="0071208D" w:rsidRDefault="00E642E4" w:rsidP="0071208D">
      <w:pPr>
        <w:pStyle w:val="Heading3"/>
      </w:pPr>
      <w:r w:rsidRPr="006560E6">
        <w:t>Fluctuations</w:t>
      </w:r>
    </w:p>
    <w:p w:rsidR="00707DDE" w:rsidRPr="00E3587B" w:rsidRDefault="006E50FC" w:rsidP="0071208D">
      <w:pPr>
        <w:tabs>
          <w:tab w:val="left" w:pos="360"/>
        </w:tabs>
        <w:spacing w:before="120" w:after="60" w:line="240" w:lineRule="auto"/>
        <w:ind w:left="360"/>
        <w:rPr>
          <w:rFonts w:ascii="Arial" w:hAnsi="Arial" w:cs="Arial"/>
          <w:u w:val="single"/>
        </w:rPr>
      </w:pPr>
      <w:r>
        <w:rPr>
          <w:rFonts w:ascii="Arial" w:hAnsi="Arial" w:cs="Arial"/>
        </w:rPr>
        <w:t xml:space="preserve">There is increasing recognition that </w:t>
      </w:r>
      <w:r w:rsidR="00DC3CEC">
        <w:rPr>
          <w:rFonts w:ascii="Arial" w:hAnsi="Arial" w:cs="Arial"/>
        </w:rPr>
        <w:t>patients with motor fluctuations typically experience non-motor fluctuations (NMFs) as well, including dysphoria, anx</w:t>
      </w:r>
      <w:r w:rsidR="0077685E">
        <w:rPr>
          <w:rFonts w:ascii="Arial" w:hAnsi="Arial" w:cs="Arial"/>
        </w:rPr>
        <w:t xml:space="preserve">iety and changes in cognition. </w:t>
      </w:r>
      <w:r w:rsidR="00DC3CEC">
        <w:rPr>
          <w:rFonts w:ascii="Arial" w:hAnsi="Arial" w:cs="Arial"/>
        </w:rPr>
        <w:t xml:space="preserve">Assessment of </w:t>
      </w:r>
      <w:r w:rsidR="00DC3CEC" w:rsidRPr="00062E75">
        <w:rPr>
          <w:rFonts w:ascii="Arial" w:hAnsi="Arial" w:cs="Arial"/>
        </w:rPr>
        <w:t>psychiatric symptoms occurri</w:t>
      </w:r>
      <w:r w:rsidR="000F5AF5" w:rsidRPr="00062E75">
        <w:rPr>
          <w:rFonts w:ascii="Arial" w:hAnsi="Arial" w:cs="Arial"/>
        </w:rPr>
        <w:t>ng as part of NMFs requires use of different assessment instruments, as</w:t>
      </w:r>
      <w:r w:rsidR="00DC3CEC" w:rsidRPr="00062E75">
        <w:rPr>
          <w:rFonts w:ascii="Arial" w:hAnsi="Arial" w:cs="Arial"/>
        </w:rPr>
        <w:t xml:space="preserve"> most </w:t>
      </w:r>
      <w:r w:rsidR="00DC3CEC" w:rsidRPr="00E3587B">
        <w:rPr>
          <w:rFonts w:ascii="Arial" w:hAnsi="Arial" w:cs="Arial"/>
        </w:rPr>
        <w:t>existing psychiatric assessment instru</w:t>
      </w:r>
      <w:r w:rsidR="000F5AF5" w:rsidRPr="00E3587B">
        <w:rPr>
          <w:rFonts w:ascii="Arial" w:hAnsi="Arial" w:cs="Arial"/>
        </w:rPr>
        <w:t>ments are not designed to assess</w:t>
      </w:r>
      <w:r w:rsidR="00DC3CEC" w:rsidRPr="00E3587B">
        <w:rPr>
          <w:rFonts w:ascii="Arial" w:hAnsi="Arial" w:cs="Arial"/>
        </w:rPr>
        <w:t xml:space="preserve"> sporadic</w:t>
      </w:r>
      <w:r w:rsidR="000F5AF5" w:rsidRPr="00E3587B">
        <w:rPr>
          <w:rFonts w:ascii="Arial" w:hAnsi="Arial" w:cs="Arial"/>
        </w:rPr>
        <w:t xml:space="preserve"> symptoms</w:t>
      </w:r>
      <w:r w:rsidR="00DC3CEC" w:rsidRPr="00E3587B">
        <w:rPr>
          <w:rFonts w:ascii="Arial" w:hAnsi="Arial" w:cs="Arial"/>
        </w:rPr>
        <w:t>.</w:t>
      </w:r>
    </w:p>
    <w:p w:rsidR="0071208D" w:rsidRPr="0071208D" w:rsidRDefault="00E642E4" w:rsidP="0071208D">
      <w:pPr>
        <w:pStyle w:val="Heading3"/>
      </w:pPr>
      <w:r w:rsidRPr="00E3587B">
        <w:t>Cognitive impairment</w:t>
      </w:r>
    </w:p>
    <w:p w:rsidR="00E642E4" w:rsidRPr="00E3587B" w:rsidRDefault="00151114" w:rsidP="0071208D">
      <w:pPr>
        <w:tabs>
          <w:tab w:val="left" w:pos="360"/>
        </w:tabs>
        <w:spacing w:before="120" w:after="60" w:line="240" w:lineRule="auto"/>
        <w:ind w:left="360"/>
        <w:rPr>
          <w:rFonts w:ascii="Arial" w:hAnsi="Arial" w:cs="Arial"/>
          <w:u w:val="single"/>
        </w:rPr>
      </w:pPr>
      <w:r w:rsidRPr="00E3587B">
        <w:rPr>
          <w:rFonts w:ascii="Arial" w:hAnsi="Arial" w:cs="Arial"/>
        </w:rPr>
        <w:t xml:space="preserve">Some degree of cognitive impairment occurs in most PD patients, and </w:t>
      </w:r>
      <w:r w:rsidR="0025035B" w:rsidRPr="00E3587B">
        <w:rPr>
          <w:rFonts w:ascii="Arial" w:hAnsi="Arial" w:cs="Arial"/>
        </w:rPr>
        <w:t xml:space="preserve">deficits </w:t>
      </w:r>
      <w:r w:rsidRPr="00E3587B">
        <w:rPr>
          <w:rFonts w:ascii="Arial" w:hAnsi="Arial" w:cs="Arial"/>
        </w:rPr>
        <w:t>may occur initiall</w:t>
      </w:r>
      <w:r w:rsidR="0071208D">
        <w:rPr>
          <w:rFonts w:ascii="Arial" w:hAnsi="Arial" w:cs="Arial"/>
        </w:rPr>
        <w:t xml:space="preserve">y early in the disease course. </w:t>
      </w:r>
      <w:r w:rsidR="007400E7" w:rsidRPr="00E3587B">
        <w:rPr>
          <w:rFonts w:ascii="Arial" w:hAnsi="Arial" w:cs="Arial"/>
        </w:rPr>
        <w:t>Depending on the severity of cognitive impairment</w:t>
      </w:r>
      <w:r w:rsidR="006D55AC" w:rsidRPr="00E3587B">
        <w:rPr>
          <w:rFonts w:ascii="Arial" w:hAnsi="Arial" w:cs="Arial"/>
        </w:rPr>
        <w:t xml:space="preserve"> and possible co-morbid apathy</w:t>
      </w:r>
      <w:r w:rsidR="007400E7" w:rsidRPr="00E3587B">
        <w:rPr>
          <w:rFonts w:ascii="Arial" w:hAnsi="Arial" w:cs="Arial"/>
        </w:rPr>
        <w:t xml:space="preserve">, consideration needs to be given to </w:t>
      </w:r>
      <w:r w:rsidR="00F714BB" w:rsidRPr="00E3587B">
        <w:rPr>
          <w:rFonts w:ascii="Arial" w:hAnsi="Arial" w:cs="Arial"/>
        </w:rPr>
        <w:t xml:space="preserve">the </w:t>
      </w:r>
      <w:r w:rsidR="007400E7" w:rsidRPr="00E3587B">
        <w:rPr>
          <w:rFonts w:ascii="Arial" w:hAnsi="Arial" w:cs="Arial"/>
        </w:rPr>
        <w:t>validity of the self-reported responses</w:t>
      </w:r>
      <w:r w:rsidR="00F714BB" w:rsidRPr="00E3587B">
        <w:rPr>
          <w:rFonts w:ascii="Arial" w:hAnsi="Arial" w:cs="Arial"/>
        </w:rPr>
        <w:t xml:space="preserve"> to queries about psychiatric symptoms</w:t>
      </w:r>
      <w:r w:rsidR="007400E7" w:rsidRPr="00E3587B">
        <w:rPr>
          <w:rFonts w:ascii="Arial" w:hAnsi="Arial" w:cs="Arial"/>
        </w:rPr>
        <w:t>,</w:t>
      </w:r>
      <w:r w:rsidR="00F714BB" w:rsidRPr="00E3587B">
        <w:rPr>
          <w:rFonts w:ascii="Arial" w:hAnsi="Arial" w:cs="Arial"/>
        </w:rPr>
        <w:t xml:space="preserve"> and whether an informed other should be included in the assessment process.</w:t>
      </w:r>
      <w:r w:rsidR="00D729DC" w:rsidRPr="00E3587B">
        <w:rPr>
          <w:rFonts w:ascii="Arial" w:hAnsi="Arial" w:cs="Arial"/>
        </w:rPr>
        <w:t xml:space="preserve"> </w:t>
      </w:r>
      <w:r w:rsidR="00707DDE" w:rsidRPr="00E3587B">
        <w:rPr>
          <w:rFonts w:ascii="Arial" w:hAnsi="Arial" w:cs="Arial"/>
        </w:rPr>
        <w:t>T</w:t>
      </w:r>
      <w:r w:rsidR="00D729DC" w:rsidRPr="00E3587B">
        <w:rPr>
          <w:rFonts w:ascii="Arial" w:hAnsi="Arial" w:cs="Arial"/>
        </w:rPr>
        <w:t>he influence o</w:t>
      </w:r>
      <w:r w:rsidR="00707DDE" w:rsidRPr="00E3587B">
        <w:rPr>
          <w:rFonts w:ascii="Arial" w:hAnsi="Arial" w:cs="Arial"/>
        </w:rPr>
        <w:t>f cognitive status</w:t>
      </w:r>
      <w:r w:rsidR="00D729DC" w:rsidRPr="00E3587B">
        <w:rPr>
          <w:rFonts w:ascii="Arial" w:hAnsi="Arial" w:cs="Arial"/>
        </w:rPr>
        <w:t xml:space="preserve"> on </w:t>
      </w:r>
      <w:r w:rsidR="00707DDE" w:rsidRPr="00E3587B">
        <w:rPr>
          <w:rFonts w:ascii="Arial" w:hAnsi="Arial" w:cs="Arial"/>
        </w:rPr>
        <w:t xml:space="preserve">psychiatric </w:t>
      </w:r>
      <w:r w:rsidR="00D729DC" w:rsidRPr="00E3587B">
        <w:rPr>
          <w:rFonts w:ascii="Arial" w:hAnsi="Arial" w:cs="Arial"/>
        </w:rPr>
        <w:t>scale p</w:t>
      </w:r>
      <w:r w:rsidR="00707DDE" w:rsidRPr="00E3587B">
        <w:rPr>
          <w:rFonts w:ascii="Arial" w:hAnsi="Arial" w:cs="Arial"/>
        </w:rPr>
        <w:t>erformance has not been well studied</w:t>
      </w:r>
      <w:r w:rsidR="0092217A" w:rsidRPr="00E3587B">
        <w:rPr>
          <w:rFonts w:ascii="Arial" w:hAnsi="Arial" w:cs="Arial"/>
        </w:rPr>
        <w:t>, although the Cornell Scale for Depression in Dementia (CSDD) has been</w:t>
      </w:r>
      <w:r w:rsidR="0015717F" w:rsidRPr="00E3587B">
        <w:rPr>
          <w:rFonts w:ascii="Arial" w:hAnsi="Arial" w:cs="Arial"/>
        </w:rPr>
        <w:t xml:space="preserve"> found to be a valid tool for identifying depressive disorders in patients with PD across a spectrum of cognitive impairment.</w:t>
      </w:r>
    </w:p>
    <w:p w:rsidR="0071208D" w:rsidRPr="0071208D" w:rsidRDefault="00F714BB" w:rsidP="0071208D">
      <w:pPr>
        <w:pStyle w:val="Heading3"/>
      </w:pPr>
      <w:r w:rsidRPr="00E3587B">
        <w:t>Other possible confounders</w:t>
      </w:r>
    </w:p>
    <w:p w:rsidR="00E642E4" w:rsidRPr="00062E75" w:rsidRDefault="00F714BB" w:rsidP="0071208D">
      <w:pPr>
        <w:tabs>
          <w:tab w:val="left" w:pos="360"/>
        </w:tabs>
        <w:spacing w:before="120" w:after="60" w:line="240" w:lineRule="auto"/>
        <w:ind w:left="360"/>
        <w:rPr>
          <w:rFonts w:ascii="Arial" w:hAnsi="Arial" w:cs="Arial"/>
          <w:u w:val="single"/>
        </w:rPr>
      </w:pPr>
      <w:r w:rsidRPr="00E3587B">
        <w:rPr>
          <w:rFonts w:ascii="Arial" w:hAnsi="Arial" w:cs="Arial"/>
        </w:rPr>
        <w:t>When conducting clinical research in the psychiatric and cognitive complications of</w:t>
      </w:r>
      <w:r w:rsidR="0025035B" w:rsidRPr="00E3587B">
        <w:rPr>
          <w:rFonts w:ascii="Arial" w:hAnsi="Arial" w:cs="Arial"/>
        </w:rPr>
        <w:t xml:space="preserve"> PD</w:t>
      </w:r>
      <w:r w:rsidRPr="00E3587B">
        <w:rPr>
          <w:rFonts w:ascii="Arial" w:hAnsi="Arial" w:cs="Arial"/>
        </w:rPr>
        <w:t>, consideration should be given to the fact that any test that is timed or involves motor abilities may be affected by core PD symptoms</w:t>
      </w:r>
      <w:r w:rsidR="006D55AC" w:rsidRPr="00E3587B">
        <w:rPr>
          <w:rFonts w:ascii="Arial" w:hAnsi="Arial" w:cs="Arial"/>
        </w:rPr>
        <w:t>, and variably affected if administered during "on" vs. "off" periods for patients with</w:t>
      </w:r>
      <w:r w:rsidR="006D55AC" w:rsidRPr="00062E75">
        <w:rPr>
          <w:rFonts w:ascii="Arial" w:hAnsi="Arial" w:cs="Arial"/>
        </w:rPr>
        <w:t xml:space="preserve"> fluctuations,</w:t>
      </w:r>
      <w:r w:rsidRPr="00062E75">
        <w:rPr>
          <w:rFonts w:ascii="Arial" w:hAnsi="Arial" w:cs="Arial"/>
        </w:rPr>
        <w:t xml:space="preserve"> regardless of any non-</w:t>
      </w:r>
      <w:r w:rsidR="0077685E">
        <w:rPr>
          <w:rFonts w:ascii="Arial" w:hAnsi="Arial" w:cs="Arial"/>
        </w:rPr>
        <w:t xml:space="preserve">motor impairments. </w:t>
      </w:r>
      <w:r w:rsidR="000F0A27" w:rsidRPr="00062E75">
        <w:rPr>
          <w:rFonts w:ascii="Arial" w:hAnsi="Arial" w:cs="Arial"/>
        </w:rPr>
        <w:t>Core PD symptoms (e.g., fatigue</w:t>
      </w:r>
      <w:r w:rsidR="006D55AC" w:rsidRPr="00062E75">
        <w:rPr>
          <w:rFonts w:ascii="Arial" w:hAnsi="Arial" w:cs="Arial"/>
        </w:rPr>
        <w:t xml:space="preserve"> or fluctuations in alertness</w:t>
      </w:r>
      <w:r w:rsidR="000F0A27" w:rsidRPr="00062E75">
        <w:rPr>
          <w:rFonts w:ascii="Arial" w:hAnsi="Arial" w:cs="Arial"/>
        </w:rPr>
        <w:t>), p</w:t>
      </w:r>
      <w:r w:rsidR="00F667F1" w:rsidRPr="00062E75">
        <w:rPr>
          <w:rFonts w:ascii="Arial" w:hAnsi="Arial" w:cs="Arial"/>
        </w:rPr>
        <w:t xml:space="preserve">sychiatric symptoms (e.g., </w:t>
      </w:r>
      <w:r w:rsidR="000F0A27" w:rsidRPr="00062E75">
        <w:rPr>
          <w:rFonts w:ascii="Arial" w:hAnsi="Arial" w:cs="Arial"/>
        </w:rPr>
        <w:t xml:space="preserve">distractibility due to </w:t>
      </w:r>
      <w:r w:rsidR="00F667F1" w:rsidRPr="00062E75">
        <w:rPr>
          <w:rFonts w:ascii="Arial" w:hAnsi="Arial" w:cs="Arial"/>
        </w:rPr>
        <w:t>active hallucinations</w:t>
      </w:r>
      <w:r w:rsidR="006D55AC" w:rsidRPr="00062E75">
        <w:rPr>
          <w:rFonts w:ascii="Arial" w:hAnsi="Arial" w:cs="Arial"/>
        </w:rPr>
        <w:t xml:space="preserve"> or anxiety</w:t>
      </w:r>
      <w:r w:rsidR="00F667F1" w:rsidRPr="00062E75">
        <w:rPr>
          <w:rFonts w:ascii="Arial" w:hAnsi="Arial" w:cs="Arial"/>
        </w:rPr>
        <w:t>)</w:t>
      </w:r>
      <w:r w:rsidR="000F0A27" w:rsidRPr="00062E75">
        <w:rPr>
          <w:rFonts w:ascii="Arial" w:hAnsi="Arial" w:cs="Arial"/>
        </w:rPr>
        <w:t>,</w:t>
      </w:r>
      <w:r w:rsidR="000A229B" w:rsidRPr="00062E75">
        <w:rPr>
          <w:rFonts w:ascii="Arial" w:hAnsi="Arial" w:cs="Arial"/>
        </w:rPr>
        <w:t xml:space="preserve"> and</w:t>
      </w:r>
      <w:r w:rsidR="00F667F1" w:rsidRPr="00062E75">
        <w:rPr>
          <w:rFonts w:ascii="Arial" w:hAnsi="Arial" w:cs="Arial"/>
        </w:rPr>
        <w:t xml:space="preserve"> PD pharmacotherapy side effects (e.g., sedation) may also affect performance. </w:t>
      </w:r>
    </w:p>
    <w:p w:rsidR="00F03EF7" w:rsidRPr="006560E6" w:rsidRDefault="00F03EF7" w:rsidP="00AE5535">
      <w:pPr>
        <w:spacing w:after="0" w:line="240" w:lineRule="auto"/>
        <w:rPr>
          <w:rFonts w:ascii="Arial" w:hAnsi="Arial" w:cs="Arial"/>
          <w:b/>
        </w:rPr>
      </w:pPr>
    </w:p>
    <w:p w:rsidR="00EC7E0A" w:rsidRPr="00707DDE" w:rsidRDefault="00EC7E0A" w:rsidP="00681DF5">
      <w:pPr>
        <w:pStyle w:val="Heading2"/>
      </w:pPr>
      <w:r w:rsidRPr="00EC7E0A">
        <w:t>.</w:t>
      </w:r>
      <w:r>
        <w:t xml:space="preserve"> </w:t>
      </w:r>
      <w:r w:rsidR="00D729DC" w:rsidRPr="00707DDE">
        <w:t>Individual Disorders</w:t>
      </w:r>
    </w:p>
    <w:p w:rsidR="00D729DC" w:rsidRPr="006560E6" w:rsidRDefault="00D729DC" w:rsidP="0077685E">
      <w:pPr>
        <w:pStyle w:val="Heading3"/>
        <w:numPr>
          <w:ilvl w:val="0"/>
          <w:numId w:val="11"/>
        </w:numPr>
      </w:pPr>
      <w:r w:rsidRPr="006560E6">
        <w:t>Depression</w:t>
      </w:r>
    </w:p>
    <w:p w:rsidR="00D729DC" w:rsidRPr="006560E6" w:rsidRDefault="00D729DC" w:rsidP="00681DF5">
      <w:pPr>
        <w:spacing w:before="120" w:after="60" w:line="240" w:lineRule="auto"/>
        <w:rPr>
          <w:rFonts w:ascii="Arial" w:hAnsi="Arial" w:cs="Arial"/>
        </w:rPr>
      </w:pPr>
      <w:r w:rsidRPr="006560E6">
        <w:rPr>
          <w:rFonts w:ascii="Arial" w:hAnsi="Arial" w:cs="Arial"/>
        </w:rPr>
        <w:t>Depression is common in PD and it is associated with a</w:t>
      </w:r>
      <w:r w:rsidR="0077685E">
        <w:rPr>
          <w:rFonts w:ascii="Arial" w:hAnsi="Arial" w:cs="Arial"/>
        </w:rPr>
        <w:t xml:space="preserve"> variety of negative outcomes. </w:t>
      </w:r>
      <w:r w:rsidRPr="006560E6">
        <w:rPr>
          <w:rFonts w:ascii="Arial" w:hAnsi="Arial" w:cs="Arial"/>
        </w:rPr>
        <w:t xml:space="preserve">There remain, however, many </w:t>
      </w:r>
      <w:r>
        <w:rPr>
          <w:rFonts w:ascii="Arial" w:hAnsi="Arial" w:cs="Arial"/>
        </w:rPr>
        <w:t xml:space="preserve">unresolved </w:t>
      </w:r>
      <w:r w:rsidRPr="006560E6">
        <w:rPr>
          <w:rFonts w:ascii="Arial" w:hAnsi="Arial" w:cs="Arial"/>
        </w:rPr>
        <w:t>issues surrounding the identification and measurement of depression in</w:t>
      </w:r>
      <w:r>
        <w:rPr>
          <w:rFonts w:ascii="Arial" w:hAnsi="Arial" w:cs="Arial"/>
        </w:rPr>
        <w:t xml:space="preserve"> the context of PD</w:t>
      </w:r>
      <w:r w:rsidR="0077685E">
        <w:rPr>
          <w:rFonts w:ascii="Arial" w:hAnsi="Arial" w:cs="Arial"/>
        </w:rPr>
        <w:t xml:space="preserve">. </w:t>
      </w:r>
      <w:r w:rsidRPr="006560E6">
        <w:rPr>
          <w:rFonts w:ascii="Arial" w:hAnsi="Arial" w:cs="Arial"/>
        </w:rPr>
        <w:t xml:space="preserve">Diagnostic criteria are confounded by the symptoms of PD itself, fluctuations in movement disorders, apathy, </w:t>
      </w:r>
      <w:r w:rsidR="0077685E">
        <w:rPr>
          <w:rFonts w:ascii="Arial" w:hAnsi="Arial" w:cs="Arial"/>
        </w:rPr>
        <w:t xml:space="preserve">and cognitive impairment. </w:t>
      </w:r>
      <w:r w:rsidRPr="006560E6">
        <w:rPr>
          <w:rFonts w:ascii="Arial" w:hAnsi="Arial" w:cs="Arial"/>
        </w:rPr>
        <w:t xml:space="preserve">There have been attempts to construct alternative diagnostic criteria, but at present, </w:t>
      </w:r>
      <w:r w:rsidRPr="006560E6">
        <w:rPr>
          <w:rFonts w:ascii="Arial" w:hAnsi="Arial" w:cs="Arial"/>
        </w:rPr>
        <w:lastRenderedPageBreak/>
        <w:t>the DSM-IV criteria remain the gold</w:t>
      </w:r>
      <w:r w:rsidR="0077685E">
        <w:rPr>
          <w:rFonts w:ascii="Arial" w:hAnsi="Arial" w:cs="Arial"/>
        </w:rPr>
        <w:t xml:space="preserve"> standard. </w:t>
      </w:r>
      <w:r w:rsidRPr="006560E6">
        <w:rPr>
          <w:rFonts w:ascii="Arial" w:hAnsi="Arial" w:cs="Arial"/>
        </w:rPr>
        <w:t xml:space="preserve">All applications of these criteria, as well as rating scales, must be done in the context of a clinical interview by </w:t>
      </w:r>
      <w:r w:rsidR="00681DF5">
        <w:rPr>
          <w:rFonts w:ascii="Arial" w:hAnsi="Arial" w:cs="Arial"/>
        </w:rPr>
        <w:t xml:space="preserve">a clinician experienced in PD. </w:t>
      </w:r>
    </w:p>
    <w:p w:rsidR="00EC7E0A" w:rsidRDefault="00D729DC" w:rsidP="00681DF5">
      <w:pPr>
        <w:spacing w:before="120" w:after="60" w:line="240" w:lineRule="auto"/>
        <w:rPr>
          <w:rFonts w:ascii="Arial" w:hAnsi="Arial" w:cs="Arial"/>
        </w:rPr>
      </w:pPr>
      <w:r w:rsidRPr="006560E6">
        <w:rPr>
          <w:rFonts w:ascii="Arial" w:hAnsi="Arial" w:cs="Arial"/>
        </w:rPr>
        <w:tab/>
        <w:t xml:space="preserve">In addition, it should be noted that DSM-IV lists, in addition to formal criteria for major depressive disorder, many other mood disorders which have not been studied </w:t>
      </w:r>
      <w:r>
        <w:rPr>
          <w:rFonts w:ascii="Arial" w:hAnsi="Arial" w:cs="Arial"/>
        </w:rPr>
        <w:t xml:space="preserve">extensively </w:t>
      </w:r>
      <w:r w:rsidR="0077685E">
        <w:rPr>
          <w:rFonts w:ascii="Arial" w:hAnsi="Arial" w:cs="Arial"/>
        </w:rPr>
        <w:t xml:space="preserve">in patients with PD. </w:t>
      </w:r>
      <w:r w:rsidRPr="006560E6">
        <w:rPr>
          <w:rFonts w:ascii="Arial" w:hAnsi="Arial" w:cs="Arial"/>
        </w:rPr>
        <w:t>The appendices also list proposed criteria for minor depression, brief recurrent depression and a number of other mood disorders that could be relevant to PD.</w:t>
      </w:r>
    </w:p>
    <w:p w:rsidR="00D729DC" w:rsidRPr="0044469A" w:rsidRDefault="00D729DC" w:rsidP="00681DF5">
      <w:pPr>
        <w:spacing w:before="120" w:after="60" w:line="240" w:lineRule="auto"/>
        <w:ind w:firstLine="720"/>
        <w:rPr>
          <w:rFonts w:ascii="Arial" w:hAnsi="Arial" w:cs="Arial"/>
          <w:strike/>
        </w:rPr>
      </w:pPr>
      <w:r w:rsidRPr="006560E6">
        <w:rPr>
          <w:rFonts w:ascii="Arial" w:hAnsi="Arial" w:cs="Arial"/>
        </w:rPr>
        <w:t>The diagnosis and measurement of d</w:t>
      </w:r>
      <w:r>
        <w:rPr>
          <w:rFonts w:ascii="Arial" w:hAnsi="Arial" w:cs="Arial"/>
        </w:rPr>
        <w:t>epression in PD is therefore an</w:t>
      </w:r>
      <w:r w:rsidR="0077685E">
        <w:rPr>
          <w:rFonts w:ascii="Arial" w:hAnsi="Arial" w:cs="Arial"/>
        </w:rPr>
        <w:t xml:space="preserve"> evolving area. </w:t>
      </w:r>
      <w:r w:rsidRPr="006560E6">
        <w:rPr>
          <w:rFonts w:ascii="Arial" w:hAnsi="Arial" w:cs="Arial"/>
        </w:rPr>
        <w:t xml:space="preserve">We have attempted to guide researchers in their choice </w:t>
      </w:r>
      <w:r>
        <w:rPr>
          <w:rFonts w:ascii="Arial" w:hAnsi="Arial" w:cs="Arial"/>
        </w:rPr>
        <w:t xml:space="preserve">of </w:t>
      </w:r>
      <w:r w:rsidRPr="006560E6">
        <w:rPr>
          <w:rFonts w:ascii="Arial" w:hAnsi="Arial" w:cs="Arial"/>
        </w:rPr>
        <w:t xml:space="preserve">screening, diagnostic and measurement </w:t>
      </w:r>
      <w:r>
        <w:rPr>
          <w:rFonts w:ascii="Arial" w:hAnsi="Arial" w:cs="Arial"/>
        </w:rPr>
        <w:t xml:space="preserve">tools, but recognize that </w:t>
      </w:r>
      <w:r w:rsidRPr="006560E6">
        <w:rPr>
          <w:rFonts w:ascii="Arial" w:hAnsi="Arial" w:cs="Arial"/>
        </w:rPr>
        <w:t>many areas of uncertainty</w:t>
      </w:r>
      <w:r>
        <w:rPr>
          <w:rFonts w:ascii="Arial" w:hAnsi="Arial" w:cs="Arial"/>
        </w:rPr>
        <w:t xml:space="preserve"> exi</w:t>
      </w:r>
      <w:r w:rsidR="0077685E">
        <w:rPr>
          <w:rFonts w:ascii="Arial" w:hAnsi="Arial" w:cs="Arial"/>
        </w:rPr>
        <w:t xml:space="preserve">st. </w:t>
      </w:r>
      <w:r w:rsidR="0044469A" w:rsidRPr="00EC67F0">
        <w:rPr>
          <w:rFonts w:ascii="Arial" w:hAnsi="Arial" w:cs="Arial"/>
        </w:rPr>
        <w:t>One area of increasing importance in psychiatry is assessment of suicide risk; it is increasingly recognized that death or suicide ideation are not uncommon, and the FDA recently issued a Guidance for Industry titled “Suicidality: Prospective Assessment of Occurrence in Clinical Trials (</w:t>
      </w:r>
      <w:hyperlink r:id="rId8" w:history="1">
        <w:r w:rsidR="0077685E">
          <w:rPr>
            <w:rStyle w:val="Hyperlink"/>
            <w:rFonts w:ascii="Arial" w:hAnsi="Arial" w:cs="Arial"/>
          </w:rPr>
          <w:t xml:space="preserve">U.S. Department of Health and Human Services, Food and Drug Administration, Center for Drug Evaluation and Research (CDER) Guidance for Industry Suicidal Ideation and Behavior </w:t>
        </w:r>
      </w:hyperlink>
      <w:r w:rsidR="0044469A" w:rsidRPr="00EC67F0">
        <w:rPr>
          <w:rFonts w:ascii="Arial" w:hAnsi="Arial" w:cs="Arial"/>
        </w:rPr>
        <w:t>).</w:t>
      </w:r>
    </w:p>
    <w:p w:rsidR="00D729DC" w:rsidRPr="006560E6" w:rsidRDefault="00D729DC" w:rsidP="0077685E">
      <w:pPr>
        <w:pStyle w:val="Heading3"/>
      </w:pPr>
      <w:r w:rsidRPr="006560E6">
        <w:t>Anxiety</w:t>
      </w:r>
    </w:p>
    <w:p w:rsidR="00D729DC" w:rsidRDefault="00D729DC" w:rsidP="00681DF5">
      <w:pPr>
        <w:spacing w:before="120" w:after="60" w:line="240" w:lineRule="auto"/>
        <w:rPr>
          <w:rFonts w:ascii="Arial" w:hAnsi="Arial" w:cs="Arial"/>
        </w:rPr>
      </w:pPr>
      <w:r w:rsidRPr="006560E6">
        <w:rPr>
          <w:rFonts w:ascii="Arial" w:hAnsi="Arial" w:cs="Arial"/>
        </w:rPr>
        <w:t>Increasing attention is being directed towards the assessment and measurement of anxiety symptoms and disorders in pat</w:t>
      </w:r>
      <w:r>
        <w:rPr>
          <w:rFonts w:ascii="Arial" w:hAnsi="Arial" w:cs="Arial"/>
        </w:rPr>
        <w:t>ients with PD</w:t>
      </w:r>
      <w:r w:rsidR="0077685E">
        <w:rPr>
          <w:rFonts w:ascii="Arial" w:hAnsi="Arial" w:cs="Arial"/>
        </w:rPr>
        <w:t xml:space="preserve">. </w:t>
      </w:r>
      <w:r w:rsidRPr="006560E6">
        <w:rPr>
          <w:rFonts w:ascii="Arial" w:hAnsi="Arial" w:cs="Arial"/>
        </w:rPr>
        <w:t>A need for valid and reliable approaches to the diagnosis and evaluation of anxiety disorders in PD is justified by the common occurrence of anxiety disturbances in PD, including before its form</w:t>
      </w:r>
      <w:r>
        <w:rPr>
          <w:rFonts w:ascii="Arial" w:hAnsi="Arial" w:cs="Arial"/>
        </w:rPr>
        <w:t>al diagnosis</w:t>
      </w:r>
      <w:r w:rsidR="00681DF5">
        <w:rPr>
          <w:rFonts w:ascii="Arial" w:hAnsi="Arial" w:cs="Arial"/>
        </w:rPr>
        <w:t>.</w:t>
      </w:r>
    </w:p>
    <w:p w:rsidR="00D729DC" w:rsidRDefault="00D729DC" w:rsidP="00681DF5">
      <w:pPr>
        <w:spacing w:before="120" w:after="60" w:line="240" w:lineRule="auto"/>
        <w:rPr>
          <w:rFonts w:ascii="Arial" w:hAnsi="Arial" w:cs="Arial"/>
        </w:rPr>
      </w:pPr>
      <w:r w:rsidRPr="006560E6">
        <w:rPr>
          <w:rFonts w:ascii="Arial" w:hAnsi="Arial" w:cs="Arial"/>
        </w:rPr>
        <w:t>Several challenges affect the assessment of anxiety disorder</w:t>
      </w:r>
      <w:r w:rsidR="0077685E">
        <w:rPr>
          <w:rFonts w:ascii="Arial" w:hAnsi="Arial" w:cs="Arial"/>
        </w:rPr>
        <w:t xml:space="preserve">s and anxiety phenomena in PD. </w:t>
      </w:r>
      <w:r w:rsidRPr="006560E6">
        <w:rPr>
          <w:rFonts w:ascii="Arial" w:hAnsi="Arial" w:cs="Arial"/>
        </w:rPr>
        <w:t>First is that a substantial number of patients have clinically significant anxiety disturbances that are specific to PD or fail to have all the symptoms needed to meet criteria for a typical DSM</w:t>
      </w:r>
      <w:r>
        <w:rPr>
          <w:rFonts w:ascii="Arial" w:hAnsi="Arial" w:cs="Arial"/>
        </w:rPr>
        <w:t>-IV anxiety diagnosis (</w:t>
      </w:r>
      <w:r w:rsidRPr="006560E6">
        <w:rPr>
          <w:rFonts w:ascii="Arial" w:hAnsi="Arial" w:cs="Arial"/>
        </w:rPr>
        <w:t>i.e., generalized anxiety disorder, panic disorder, agoraphobia, specific phobias, social phobia, post-traumatic stress disorder, and obsess</w:t>
      </w:r>
      <w:r>
        <w:rPr>
          <w:rFonts w:ascii="Arial" w:hAnsi="Arial" w:cs="Arial"/>
        </w:rPr>
        <w:t>ive-compulsive disorder)</w:t>
      </w:r>
      <w:r w:rsidRPr="006560E6">
        <w:rPr>
          <w:rFonts w:ascii="Arial" w:hAnsi="Arial" w:cs="Arial"/>
        </w:rPr>
        <w:t>. Examples of such ‘atypical’ anxiety disorders include recurrent panic attack-like episodes, often associated with fluctuating motor effects to antiparkinsonian therapy, or extreme situational anxiety associated with akinesia or freezin</w:t>
      </w:r>
      <w:r>
        <w:rPr>
          <w:rFonts w:ascii="Arial" w:hAnsi="Arial" w:cs="Arial"/>
        </w:rPr>
        <w:t>g of gait</w:t>
      </w:r>
      <w:r w:rsidR="0077685E">
        <w:rPr>
          <w:rFonts w:ascii="Arial" w:hAnsi="Arial" w:cs="Arial"/>
        </w:rPr>
        <w:t xml:space="preserve">. </w:t>
      </w:r>
      <w:r w:rsidRPr="006560E6">
        <w:rPr>
          <w:rFonts w:ascii="Arial" w:hAnsi="Arial" w:cs="Arial"/>
        </w:rPr>
        <w:t>Specific diagnostic criteria for PD-specific anxiety disturbances would facilitate their recognition and investigations of treatments</w:t>
      </w:r>
      <w:r>
        <w:rPr>
          <w:rFonts w:ascii="Arial" w:hAnsi="Arial" w:cs="Arial"/>
        </w:rPr>
        <w:t>, and t</w:t>
      </w:r>
      <w:r w:rsidRPr="006560E6">
        <w:rPr>
          <w:rFonts w:ascii="Arial" w:hAnsi="Arial" w:cs="Arial"/>
        </w:rPr>
        <w:t>here is also a need to include the atypical PD-specific anxiety disturbances in analyses of scale performance.</w:t>
      </w:r>
    </w:p>
    <w:p w:rsidR="00D729DC" w:rsidRPr="006560E6" w:rsidRDefault="00D729DC" w:rsidP="00681DF5">
      <w:pPr>
        <w:spacing w:before="120" w:after="60" w:line="240" w:lineRule="auto"/>
        <w:rPr>
          <w:rFonts w:ascii="Arial" w:hAnsi="Arial" w:cs="Arial"/>
        </w:rPr>
      </w:pPr>
      <w:r w:rsidRPr="006560E6">
        <w:rPr>
          <w:rFonts w:ascii="Arial" w:hAnsi="Arial" w:cs="Arial"/>
        </w:rPr>
        <w:t>Even when features of a typical anxiety disorder are evident in a patient with PD, the DSM diagnostic criteria pose an additional quandary with respect to symptom attribution. A specific example is provided in t</w:t>
      </w:r>
      <w:r>
        <w:rPr>
          <w:rFonts w:ascii="Arial" w:hAnsi="Arial" w:cs="Arial"/>
        </w:rPr>
        <w:t xml:space="preserve">he DSM for social phobia, in </w:t>
      </w:r>
      <w:r w:rsidRPr="006560E6">
        <w:rPr>
          <w:rFonts w:ascii="Arial" w:hAnsi="Arial" w:cs="Arial"/>
        </w:rPr>
        <w:t xml:space="preserve">that the fear of being observed does not meet criteria as a symptom if it is ‘solely’ accounted for by </w:t>
      </w:r>
      <w:r w:rsidR="0077685E">
        <w:rPr>
          <w:rFonts w:ascii="Arial" w:hAnsi="Arial" w:cs="Arial"/>
        </w:rPr>
        <w:t xml:space="preserve">trembling in patients with PD. </w:t>
      </w:r>
      <w:r>
        <w:rPr>
          <w:rFonts w:ascii="Arial" w:hAnsi="Arial" w:cs="Arial"/>
        </w:rPr>
        <w:t>In general,</w:t>
      </w:r>
      <w:r w:rsidRPr="006560E6">
        <w:rPr>
          <w:rFonts w:ascii="Arial" w:hAnsi="Arial" w:cs="Arial"/>
        </w:rPr>
        <w:t xml:space="preserve"> an inclusive approach to symptom attribution </w:t>
      </w:r>
      <w:r>
        <w:rPr>
          <w:rFonts w:ascii="Arial" w:hAnsi="Arial" w:cs="Arial"/>
        </w:rPr>
        <w:t>has b</w:t>
      </w:r>
      <w:r w:rsidR="0077685E">
        <w:rPr>
          <w:rFonts w:ascii="Arial" w:hAnsi="Arial" w:cs="Arial"/>
        </w:rPr>
        <w:t xml:space="preserve">een recommended in such cases. </w:t>
      </w:r>
    </w:p>
    <w:p w:rsidR="00D729DC" w:rsidRPr="006560E6" w:rsidRDefault="00D729DC" w:rsidP="0077685E">
      <w:pPr>
        <w:pStyle w:val="Heading3"/>
      </w:pPr>
      <w:r w:rsidRPr="006560E6">
        <w:t>Apathy</w:t>
      </w:r>
    </w:p>
    <w:p w:rsidR="00D729DC" w:rsidRPr="006560E6" w:rsidRDefault="00D729DC" w:rsidP="00681DF5">
      <w:pPr>
        <w:spacing w:before="120" w:after="60" w:line="240" w:lineRule="auto"/>
        <w:rPr>
          <w:rFonts w:ascii="Arial" w:hAnsi="Arial" w:cs="Arial"/>
        </w:rPr>
      </w:pPr>
      <w:r>
        <w:rPr>
          <w:rFonts w:ascii="Arial" w:hAnsi="Arial" w:cs="Arial"/>
        </w:rPr>
        <w:t>R</w:t>
      </w:r>
      <w:r w:rsidRPr="006560E6">
        <w:rPr>
          <w:rFonts w:ascii="Arial" w:hAnsi="Arial" w:cs="Arial"/>
        </w:rPr>
        <w:t>esearch on apathy sc</w:t>
      </w:r>
      <w:r w:rsidR="009630C5">
        <w:rPr>
          <w:rFonts w:ascii="Arial" w:hAnsi="Arial" w:cs="Arial"/>
        </w:rPr>
        <w:t>ales in Parkinson’s disease (PD</w:t>
      </w:r>
      <w:r w:rsidR="0077685E">
        <w:rPr>
          <w:rFonts w:ascii="Arial" w:hAnsi="Arial" w:cs="Arial"/>
        </w:rPr>
        <w:t xml:space="preserve">) is limited. </w:t>
      </w:r>
      <w:r w:rsidRPr="006560E6">
        <w:rPr>
          <w:rFonts w:ascii="Arial" w:hAnsi="Arial" w:cs="Arial"/>
        </w:rPr>
        <w:t>Apathy is a common syndrome in PD occurring in up to 70% of PD patients and causing significant disabilit</w:t>
      </w:r>
      <w:r>
        <w:rPr>
          <w:rFonts w:ascii="Arial" w:hAnsi="Arial" w:cs="Arial"/>
        </w:rPr>
        <w:t>y</w:t>
      </w:r>
      <w:r w:rsidR="0077685E">
        <w:rPr>
          <w:rFonts w:ascii="Arial" w:hAnsi="Arial" w:cs="Arial"/>
        </w:rPr>
        <w:t xml:space="preserve">. </w:t>
      </w:r>
      <w:r w:rsidRPr="006560E6">
        <w:rPr>
          <w:rFonts w:ascii="Arial" w:hAnsi="Arial" w:cs="Arial"/>
        </w:rPr>
        <w:t>A major obstacle to further research has been a</w:t>
      </w:r>
      <w:r w:rsidR="0077685E">
        <w:rPr>
          <w:rFonts w:ascii="Arial" w:hAnsi="Arial" w:cs="Arial"/>
        </w:rPr>
        <w:t xml:space="preserve"> common definition for apathy. </w:t>
      </w:r>
      <w:r w:rsidRPr="006560E6">
        <w:rPr>
          <w:rFonts w:ascii="Arial" w:hAnsi="Arial" w:cs="Arial"/>
        </w:rPr>
        <w:t>The generally accepted definition is a lack of motivation</w:t>
      </w:r>
      <w:r>
        <w:rPr>
          <w:rFonts w:ascii="Arial" w:hAnsi="Arial" w:cs="Arial"/>
        </w:rPr>
        <w:t>,</w:t>
      </w:r>
      <w:r w:rsidRPr="006560E6">
        <w:rPr>
          <w:rFonts w:ascii="Arial" w:hAnsi="Arial" w:cs="Arial"/>
        </w:rPr>
        <w:t xml:space="preserve"> but operationally apathy needs to be differentiated from other</w:t>
      </w:r>
      <w:r w:rsidR="0077685E">
        <w:rPr>
          <w:rFonts w:ascii="Arial" w:hAnsi="Arial" w:cs="Arial"/>
        </w:rPr>
        <w:t xml:space="preserve"> syndromes such as depression. </w:t>
      </w:r>
      <w:r w:rsidRPr="006560E6">
        <w:rPr>
          <w:rFonts w:ascii="Arial" w:hAnsi="Arial" w:cs="Arial"/>
        </w:rPr>
        <w:t>Specifically apathy needs to be differentiated from anhedonia (i.e., the loss of interest and pleasure)</w:t>
      </w:r>
      <w:r>
        <w:rPr>
          <w:rFonts w:ascii="Arial" w:hAnsi="Arial" w:cs="Arial"/>
        </w:rPr>
        <w:t>,</w:t>
      </w:r>
      <w:r w:rsidRPr="006560E6">
        <w:rPr>
          <w:rFonts w:ascii="Arial" w:hAnsi="Arial" w:cs="Arial"/>
        </w:rPr>
        <w:t xml:space="preserve"> which is a key symptom </w:t>
      </w:r>
      <w:r>
        <w:rPr>
          <w:rFonts w:ascii="Arial" w:hAnsi="Arial" w:cs="Arial"/>
        </w:rPr>
        <w:t>of major depressive episode in DSM-IV</w:t>
      </w:r>
      <w:r w:rsidR="0077685E">
        <w:rPr>
          <w:rFonts w:ascii="Arial" w:hAnsi="Arial" w:cs="Arial"/>
        </w:rPr>
        <w:t xml:space="preserve">. </w:t>
      </w:r>
      <w:r w:rsidRPr="006560E6">
        <w:rPr>
          <w:rFonts w:ascii="Arial" w:hAnsi="Arial" w:cs="Arial"/>
        </w:rPr>
        <w:t>The most commonly accept</w:t>
      </w:r>
      <w:r>
        <w:rPr>
          <w:rFonts w:ascii="Arial" w:hAnsi="Arial" w:cs="Arial"/>
        </w:rPr>
        <w:t>ed definition of apathy is the proposed diagnostic criteria</w:t>
      </w:r>
      <w:r w:rsidRPr="006560E6">
        <w:rPr>
          <w:rFonts w:ascii="Arial" w:hAnsi="Arial" w:cs="Arial"/>
        </w:rPr>
        <w:t xml:space="preserve"> first described by Starkstein and Lee</w:t>
      </w:r>
      <w:r>
        <w:rPr>
          <w:rFonts w:ascii="Arial" w:hAnsi="Arial" w:cs="Arial"/>
        </w:rPr>
        <w:t>nt</w:t>
      </w:r>
      <w:r w:rsidRPr="006560E6">
        <w:rPr>
          <w:rFonts w:ascii="Arial" w:hAnsi="Arial" w:cs="Arial"/>
        </w:rPr>
        <w:t>jens</w:t>
      </w:r>
      <w:r>
        <w:rPr>
          <w:rFonts w:ascii="Arial" w:hAnsi="Arial" w:cs="Arial"/>
        </w:rPr>
        <w:t>,</w:t>
      </w:r>
      <w:r w:rsidR="0077685E">
        <w:rPr>
          <w:rFonts w:ascii="Arial" w:hAnsi="Arial" w:cs="Arial"/>
        </w:rPr>
        <w:t xml:space="preserve"> and adapted from Marin. </w:t>
      </w:r>
      <w:r w:rsidRPr="006560E6">
        <w:rPr>
          <w:rFonts w:ascii="Arial" w:hAnsi="Arial" w:cs="Arial"/>
        </w:rPr>
        <w:t>Although this definition is generally accepted, the criteria are nevertheless “proposed” and research in this area would be strengthened by developing definitive diagnostic criter</w:t>
      </w:r>
      <w:r>
        <w:rPr>
          <w:rFonts w:ascii="Arial" w:hAnsi="Arial" w:cs="Arial"/>
        </w:rPr>
        <w:t>ia</w:t>
      </w:r>
      <w:r w:rsidR="00681DF5">
        <w:rPr>
          <w:rFonts w:ascii="Arial" w:hAnsi="Arial" w:cs="Arial"/>
        </w:rPr>
        <w:t>.</w:t>
      </w:r>
    </w:p>
    <w:p w:rsidR="00D729DC" w:rsidRPr="006560E6" w:rsidRDefault="00D729DC" w:rsidP="0077685E">
      <w:pPr>
        <w:pStyle w:val="Heading3"/>
      </w:pPr>
      <w:r w:rsidRPr="006560E6">
        <w:t>Psychosis</w:t>
      </w:r>
    </w:p>
    <w:p w:rsidR="00D729DC" w:rsidRDefault="00D729DC" w:rsidP="00681DF5">
      <w:pPr>
        <w:spacing w:before="120" w:after="60" w:line="240" w:lineRule="auto"/>
        <w:rPr>
          <w:rFonts w:ascii="Arial" w:hAnsi="Arial" w:cs="Arial"/>
        </w:rPr>
      </w:pPr>
      <w:r>
        <w:rPr>
          <w:rFonts w:ascii="Arial" w:hAnsi="Arial" w:cs="Arial"/>
        </w:rPr>
        <w:t>Psychosis in PD</w:t>
      </w:r>
      <w:r w:rsidRPr="006560E6">
        <w:rPr>
          <w:rFonts w:ascii="Arial" w:hAnsi="Arial" w:cs="Arial"/>
        </w:rPr>
        <w:t xml:space="preserve"> has a well-characterized temporal and clinical profile of hallucinations and delusions which is different than the pattern seen in other psycho</w:t>
      </w:r>
      <w:r>
        <w:rPr>
          <w:rFonts w:ascii="Arial" w:hAnsi="Arial" w:cs="Arial"/>
        </w:rPr>
        <w:t>tic disorders (e.g., substance-</w:t>
      </w:r>
      <w:r w:rsidRPr="006560E6">
        <w:rPr>
          <w:rFonts w:ascii="Arial" w:hAnsi="Arial" w:cs="Arial"/>
        </w:rPr>
        <w:t xml:space="preserve">induced psychosis or </w:t>
      </w:r>
      <w:r w:rsidR="0077685E">
        <w:rPr>
          <w:rFonts w:ascii="Arial" w:hAnsi="Arial" w:cs="Arial"/>
        </w:rPr>
        <w:t xml:space="preserve">schizophrenia). </w:t>
      </w:r>
      <w:r>
        <w:rPr>
          <w:rFonts w:ascii="Arial" w:hAnsi="Arial" w:cs="Arial"/>
        </w:rPr>
        <w:t xml:space="preserve">Psychosis in PD </w:t>
      </w:r>
      <w:r w:rsidRPr="006560E6">
        <w:rPr>
          <w:rFonts w:ascii="Arial" w:hAnsi="Arial" w:cs="Arial"/>
        </w:rPr>
        <w:t>generally occurs later in the course of PD</w:t>
      </w:r>
      <w:r>
        <w:rPr>
          <w:rFonts w:ascii="Arial" w:hAnsi="Arial" w:cs="Arial"/>
        </w:rPr>
        <w:t>,</w:t>
      </w:r>
      <w:r w:rsidRPr="006560E6">
        <w:rPr>
          <w:rFonts w:ascii="Arial" w:hAnsi="Arial" w:cs="Arial"/>
        </w:rPr>
        <w:t xml:space="preserve"> but m</w:t>
      </w:r>
      <w:r>
        <w:rPr>
          <w:rFonts w:ascii="Arial" w:hAnsi="Arial" w:cs="Arial"/>
        </w:rPr>
        <w:t>ay occur at any stage</w:t>
      </w:r>
      <w:r w:rsidRPr="006560E6">
        <w:rPr>
          <w:rFonts w:ascii="Arial" w:hAnsi="Arial" w:cs="Arial"/>
        </w:rPr>
        <w:t xml:space="preserve">. </w:t>
      </w:r>
      <w:r>
        <w:rPr>
          <w:rFonts w:ascii="Arial" w:hAnsi="Arial" w:cs="Arial"/>
        </w:rPr>
        <w:t>It</w:t>
      </w:r>
      <w:r w:rsidRPr="006560E6">
        <w:rPr>
          <w:rFonts w:ascii="Arial" w:hAnsi="Arial" w:cs="Arial"/>
        </w:rPr>
        <w:t xml:space="preserve"> is associated with a poor prognosis</w:t>
      </w:r>
      <w:r>
        <w:rPr>
          <w:rFonts w:ascii="Arial" w:hAnsi="Arial" w:cs="Arial"/>
        </w:rPr>
        <w:t>, including nursing home placement</w:t>
      </w:r>
      <w:r w:rsidRPr="006560E6">
        <w:rPr>
          <w:rFonts w:ascii="Arial" w:hAnsi="Arial" w:cs="Arial"/>
        </w:rPr>
        <w:t xml:space="preserve"> and death</w:t>
      </w:r>
      <w:r>
        <w:rPr>
          <w:rFonts w:ascii="Arial" w:hAnsi="Arial" w:cs="Arial"/>
        </w:rPr>
        <w:t>,</w:t>
      </w:r>
      <w:r w:rsidRPr="006560E6">
        <w:rPr>
          <w:rFonts w:ascii="Arial" w:hAnsi="Arial" w:cs="Arial"/>
        </w:rPr>
        <w:t xml:space="preserve"> and </w:t>
      </w:r>
      <w:r>
        <w:rPr>
          <w:rFonts w:ascii="Arial" w:hAnsi="Arial" w:cs="Arial"/>
        </w:rPr>
        <w:t>once established psychosis is usually ch</w:t>
      </w:r>
      <w:r w:rsidRPr="006560E6">
        <w:rPr>
          <w:rFonts w:ascii="Arial" w:hAnsi="Arial" w:cs="Arial"/>
        </w:rPr>
        <w:t>r</w:t>
      </w:r>
      <w:r w:rsidR="0077685E">
        <w:rPr>
          <w:rFonts w:ascii="Arial" w:hAnsi="Arial" w:cs="Arial"/>
        </w:rPr>
        <w:t xml:space="preserve">onic. </w:t>
      </w:r>
      <w:r>
        <w:rPr>
          <w:rFonts w:ascii="Arial" w:hAnsi="Arial" w:cs="Arial"/>
        </w:rPr>
        <w:t>The etiology of p</w:t>
      </w:r>
      <w:r w:rsidRPr="006560E6">
        <w:rPr>
          <w:rFonts w:ascii="Arial" w:hAnsi="Arial" w:cs="Arial"/>
        </w:rPr>
        <w:t>sy</w:t>
      </w:r>
      <w:r>
        <w:rPr>
          <w:rFonts w:ascii="Arial" w:hAnsi="Arial" w:cs="Arial"/>
        </w:rPr>
        <w:t xml:space="preserve">chosis in PD is complex and associated with exposure to PD </w:t>
      </w:r>
      <w:r>
        <w:rPr>
          <w:rFonts w:ascii="Arial" w:hAnsi="Arial" w:cs="Arial"/>
        </w:rPr>
        <w:lastRenderedPageBreak/>
        <w:t>medications, Lewy body</w:t>
      </w:r>
      <w:r w:rsidRPr="006560E6">
        <w:rPr>
          <w:rFonts w:ascii="Arial" w:hAnsi="Arial" w:cs="Arial"/>
        </w:rPr>
        <w:t xml:space="preserve"> pathology, imbalances of monoaminergic neurotransmitters, and visuospatial processing deficits. </w:t>
      </w:r>
    </w:p>
    <w:p w:rsidR="00D729DC" w:rsidRDefault="00D729DC" w:rsidP="00681DF5">
      <w:pPr>
        <w:spacing w:before="120" w:after="60" w:line="240" w:lineRule="auto"/>
        <w:rPr>
          <w:rFonts w:ascii="Arial" w:hAnsi="Arial" w:cs="Arial"/>
        </w:rPr>
      </w:pPr>
      <w:r>
        <w:rPr>
          <w:rFonts w:ascii="Arial" w:hAnsi="Arial" w:cs="Arial"/>
        </w:rPr>
        <w:tab/>
        <w:t xml:space="preserve">In the past several years diagnostic criteria for psychosis in PD have been proposed, and a thorough review of psychosis </w:t>
      </w:r>
      <w:r w:rsidR="0077685E">
        <w:rPr>
          <w:rFonts w:ascii="Arial" w:hAnsi="Arial" w:cs="Arial"/>
        </w:rPr>
        <w:t xml:space="preserve">rating scales in PD conducted. </w:t>
      </w:r>
      <w:r>
        <w:rPr>
          <w:rFonts w:ascii="Arial" w:hAnsi="Arial" w:cs="Arial"/>
        </w:rPr>
        <w:t xml:space="preserve">In addition, a Movement Disorders Society sponsored effort to develop and validate a new rating scale specifically </w:t>
      </w:r>
      <w:r w:rsidR="00681DF5">
        <w:rPr>
          <w:rFonts w:ascii="Arial" w:hAnsi="Arial" w:cs="Arial"/>
        </w:rPr>
        <w:t>for psychosis in PD is ongoing.</w:t>
      </w:r>
    </w:p>
    <w:p w:rsidR="00D729DC" w:rsidRDefault="00D729DC" w:rsidP="0077685E">
      <w:pPr>
        <w:pStyle w:val="Heading3"/>
      </w:pPr>
      <w:r w:rsidRPr="006560E6">
        <w:t>Impulse control disorders</w:t>
      </w:r>
    </w:p>
    <w:p w:rsidR="0008240E" w:rsidRDefault="00D729DC" w:rsidP="00681DF5">
      <w:pPr>
        <w:spacing w:before="120" w:after="60" w:line="240" w:lineRule="auto"/>
        <w:rPr>
          <w:rFonts w:ascii="Arial" w:hAnsi="Arial" w:cs="Arial"/>
        </w:rPr>
      </w:pPr>
      <w:r>
        <w:rPr>
          <w:rFonts w:ascii="Arial" w:hAnsi="Arial" w:cs="Arial"/>
        </w:rPr>
        <w:t>Compared with other psychiatric disorders in PD, impulse control disorders (ICDs) have only recently gained recognition in PD, soon after the introduction and common use of newer</w:t>
      </w:r>
      <w:r w:rsidR="0077685E">
        <w:rPr>
          <w:rFonts w:ascii="Arial" w:hAnsi="Arial" w:cs="Arial"/>
        </w:rPr>
        <w:t xml:space="preserve"> dopamine agonist medications. </w:t>
      </w:r>
      <w:r>
        <w:rPr>
          <w:rFonts w:ascii="Arial" w:hAnsi="Arial" w:cs="Arial"/>
        </w:rPr>
        <w:t>The presentation and severity of ICD symptoms in PD varies widely, and overlaps with normal</w:t>
      </w:r>
      <w:r w:rsidR="0077685E">
        <w:rPr>
          <w:rFonts w:ascii="Arial" w:hAnsi="Arial" w:cs="Arial"/>
        </w:rPr>
        <w:t xml:space="preserve">, pleasurable human behaviors. </w:t>
      </w:r>
      <w:r>
        <w:rPr>
          <w:rFonts w:ascii="Arial" w:hAnsi="Arial" w:cs="Arial"/>
        </w:rPr>
        <w:t>In addition, ICDs seem related to, but also distinct in some ways, from other syndromes reported to occur in PD, including dopamine dysregulation syndrome (DDS), p</w:t>
      </w:r>
      <w:r w:rsidR="0077685E">
        <w:rPr>
          <w:rFonts w:ascii="Arial" w:hAnsi="Arial" w:cs="Arial"/>
        </w:rPr>
        <w:t xml:space="preserve">unding, and hobbyism. </w:t>
      </w:r>
      <w:r>
        <w:rPr>
          <w:rFonts w:ascii="Arial" w:hAnsi="Arial" w:cs="Arial"/>
        </w:rPr>
        <w:t>Research to develop and validate assessment instruments specific to the ICDs and related behaviors that occur in PD is in its infancy, so most commonly the ICD screening instruments, rating scales, and diagnostic criteria used in PD are those that were developed and have been used for similar disord</w:t>
      </w:r>
      <w:r w:rsidR="00681DF5">
        <w:rPr>
          <w:rFonts w:ascii="Arial" w:hAnsi="Arial" w:cs="Arial"/>
        </w:rPr>
        <w:t xml:space="preserve">ers in the general population. </w:t>
      </w:r>
    </w:p>
    <w:p w:rsidR="0008240E" w:rsidRPr="0008240E" w:rsidRDefault="0008240E" w:rsidP="0077685E">
      <w:pPr>
        <w:pStyle w:val="Heading2"/>
      </w:pPr>
      <w:r w:rsidRPr="0008240E">
        <w:t>References</w:t>
      </w:r>
      <w:r w:rsidRPr="0008240E">
        <w:fldChar w:fldCharType="begin"/>
      </w:r>
      <w:r w:rsidRPr="0008240E">
        <w:instrText xml:space="preserve"> ADDIN REFMGR.REFLIST </w:instrText>
      </w:r>
      <w:r w:rsidRPr="0008240E">
        <w:fldChar w:fldCharType="separate"/>
      </w:r>
    </w:p>
    <w:p w:rsidR="0008240E" w:rsidRPr="0008240E" w:rsidRDefault="0008240E" w:rsidP="0008240E">
      <w:pPr>
        <w:spacing w:after="0" w:line="240" w:lineRule="auto"/>
        <w:jc w:val="center"/>
        <w:rPr>
          <w:rFonts w:ascii="Arial" w:hAnsi="Arial" w:cs="Arial"/>
          <w:noProof/>
        </w:rPr>
      </w:pPr>
    </w:p>
    <w:p w:rsidR="0008240E" w:rsidRPr="0008240E" w:rsidRDefault="0008240E" w:rsidP="00681DF5">
      <w:pPr>
        <w:numPr>
          <w:ilvl w:val="0"/>
          <w:numId w:val="10"/>
        </w:numPr>
        <w:tabs>
          <w:tab w:val="right" w:pos="360"/>
          <w:tab w:val="left" w:pos="540"/>
        </w:tabs>
        <w:spacing w:after="0" w:line="240" w:lineRule="auto"/>
        <w:rPr>
          <w:rFonts w:ascii="Arial" w:hAnsi="Arial" w:cs="Arial"/>
          <w:noProof/>
        </w:rPr>
      </w:pPr>
      <w:r w:rsidRPr="0008240E">
        <w:rPr>
          <w:rFonts w:ascii="Arial" w:hAnsi="Arial" w:cs="Arial"/>
          <w:noProof/>
        </w:rPr>
        <w:t>Leentjens A</w:t>
      </w:r>
      <w:r w:rsidR="00681DF5">
        <w:rPr>
          <w:rFonts w:ascii="Arial" w:hAnsi="Arial" w:cs="Arial"/>
          <w:noProof/>
        </w:rPr>
        <w:t xml:space="preserve">F, Dujardin K, Marsh L, et al. </w:t>
      </w:r>
      <w:r w:rsidRPr="0008240E">
        <w:rPr>
          <w:rFonts w:ascii="Arial" w:hAnsi="Arial" w:cs="Arial"/>
          <w:noProof/>
        </w:rPr>
        <w:t>Apathy and anhedonia rating scales in Parkinson's disease: critique and recommendations. Mov Disord. 2008; 23:2015-2025.</w:t>
      </w:r>
    </w:p>
    <w:p w:rsidR="0008240E" w:rsidRPr="0008240E" w:rsidRDefault="0008240E" w:rsidP="00681DF5">
      <w:pPr>
        <w:numPr>
          <w:ilvl w:val="0"/>
          <w:numId w:val="10"/>
        </w:numPr>
        <w:tabs>
          <w:tab w:val="right" w:pos="360"/>
          <w:tab w:val="left" w:pos="540"/>
        </w:tabs>
        <w:spacing w:after="0" w:line="240" w:lineRule="auto"/>
        <w:rPr>
          <w:rFonts w:ascii="Arial" w:hAnsi="Arial" w:cs="Arial"/>
          <w:noProof/>
        </w:rPr>
      </w:pPr>
      <w:r w:rsidRPr="0008240E">
        <w:rPr>
          <w:rFonts w:ascii="Arial" w:hAnsi="Arial" w:cs="Arial"/>
          <w:noProof/>
        </w:rPr>
        <w:t>Leentjens AF</w:t>
      </w:r>
      <w:r w:rsidR="00681DF5">
        <w:rPr>
          <w:rFonts w:ascii="Arial" w:hAnsi="Arial" w:cs="Arial"/>
          <w:noProof/>
        </w:rPr>
        <w:t xml:space="preserve">G, Dujardin K, Marsh L, et al. </w:t>
      </w:r>
      <w:r w:rsidRPr="0008240E">
        <w:rPr>
          <w:rFonts w:ascii="Arial" w:hAnsi="Arial" w:cs="Arial"/>
          <w:noProof/>
        </w:rPr>
        <w:t>Anxiety rating scales in Parkinson's disease: critique and recommendations. Mov Disord. 2008; 23:2004-2014.</w:t>
      </w:r>
    </w:p>
    <w:p w:rsidR="0008240E" w:rsidRPr="0008240E" w:rsidRDefault="0008240E" w:rsidP="00681DF5">
      <w:pPr>
        <w:numPr>
          <w:ilvl w:val="0"/>
          <w:numId w:val="10"/>
        </w:numPr>
        <w:tabs>
          <w:tab w:val="right" w:pos="360"/>
          <w:tab w:val="left" w:pos="540"/>
        </w:tabs>
        <w:spacing w:after="0" w:line="240" w:lineRule="auto"/>
        <w:rPr>
          <w:rFonts w:ascii="Arial" w:hAnsi="Arial" w:cs="Arial"/>
          <w:noProof/>
        </w:rPr>
      </w:pPr>
      <w:r w:rsidRPr="0008240E">
        <w:rPr>
          <w:rFonts w:ascii="Arial" w:hAnsi="Arial" w:cs="Arial"/>
          <w:noProof/>
        </w:rPr>
        <w:t>Schrag</w:t>
      </w:r>
      <w:r w:rsidR="00681DF5">
        <w:rPr>
          <w:rFonts w:ascii="Arial" w:hAnsi="Arial" w:cs="Arial"/>
          <w:noProof/>
        </w:rPr>
        <w:t xml:space="preserve"> A, Barone P, Brown RG, et al. </w:t>
      </w:r>
      <w:r w:rsidRPr="0008240E">
        <w:rPr>
          <w:rFonts w:ascii="Arial" w:hAnsi="Arial" w:cs="Arial"/>
          <w:noProof/>
        </w:rPr>
        <w:t>Depression rating scales in Parkinson's disease: critique and recommendations. Mov Disord. 2007; 22:1077-1092. PMCID: PMC17394234.</w:t>
      </w:r>
    </w:p>
    <w:p w:rsidR="0008240E" w:rsidRPr="0008240E" w:rsidRDefault="0008240E" w:rsidP="00681DF5">
      <w:pPr>
        <w:numPr>
          <w:ilvl w:val="0"/>
          <w:numId w:val="10"/>
        </w:numPr>
        <w:tabs>
          <w:tab w:val="right" w:pos="360"/>
          <w:tab w:val="left" w:pos="540"/>
        </w:tabs>
        <w:spacing w:after="0" w:line="240" w:lineRule="auto"/>
        <w:rPr>
          <w:rFonts w:ascii="Arial" w:hAnsi="Arial" w:cs="Arial"/>
          <w:noProof/>
        </w:rPr>
      </w:pPr>
      <w:r w:rsidRPr="0008240E">
        <w:rPr>
          <w:rFonts w:ascii="Arial" w:hAnsi="Arial" w:cs="Arial"/>
          <w:noProof/>
        </w:rPr>
        <w:t>Fernandez HH,</w:t>
      </w:r>
      <w:r w:rsidR="00681DF5">
        <w:rPr>
          <w:rFonts w:ascii="Arial" w:hAnsi="Arial" w:cs="Arial"/>
          <w:noProof/>
        </w:rPr>
        <w:t xml:space="preserve"> Aarsland D, Fénelon G, et al. </w:t>
      </w:r>
      <w:r w:rsidRPr="0008240E">
        <w:rPr>
          <w:rFonts w:ascii="Arial" w:hAnsi="Arial" w:cs="Arial"/>
          <w:noProof/>
        </w:rPr>
        <w:t>Scales to assess psychosis in Parkinson's disease: critique and recommendations. Mov Disord. 2008; 23:484-500.</w:t>
      </w:r>
    </w:p>
    <w:p w:rsidR="006F64B4" w:rsidRDefault="0008240E" w:rsidP="0008240E">
      <w:pPr>
        <w:spacing w:after="0" w:line="240" w:lineRule="auto"/>
        <w:rPr>
          <w:rFonts w:ascii="Arial" w:hAnsi="Arial" w:cs="Arial"/>
        </w:rPr>
        <w:sectPr w:rsidR="006F64B4" w:rsidSect="00EC67F0">
          <w:headerReference w:type="default" r:id="rId9"/>
          <w:footerReference w:type="default" r:id="rId10"/>
          <w:pgSz w:w="12240" w:h="15840"/>
          <w:pgMar w:top="720" w:right="630" w:bottom="720" w:left="720" w:header="720" w:footer="720" w:gutter="0"/>
          <w:cols w:space="720"/>
          <w:docGrid w:linePitch="360"/>
        </w:sectPr>
      </w:pPr>
      <w:r w:rsidRPr="0008240E">
        <w:rPr>
          <w:rFonts w:ascii="Arial" w:hAnsi="Arial" w:cs="Arial"/>
        </w:rPr>
        <w:fldChar w:fldCharType="end"/>
      </w:r>
    </w:p>
    <w:p w:rsidR="00D14162" w:rsidRPr="00E851B6" w:rsidRDefault="00D14162" w:rsidP="00D14162">
      <w:pPr>
        <w:pStyle w:val="Caption"/>
        <w:rPr>
          <w:rFonts w:cs="Calibri"/>
          <w:sz w:val="22"/>
          <w:szCs w:val="22"/>
        </w:rPr>
      </w:pPr>
      <w:r w:rsidRPr="00E851B6">
        <w:rPr>
          <w:rFonts w:cs="Calibri"/>
          <w:sz w:val="22"/>
          <w:szCs w:val="22"/>
        </w:rPr>
        <w:lastRenderedPageBreak/>
        <w:t xml:space="preserve">Table </w:t>
      </w:r>
      <w:r w:rsidRPr="00E851B6">
        <w:rPr>
          <w:rFonts w:cs="Calibri"/>
          <w:sz w:val="22"/>
          <w:szCs w:val="22"/>
        </w:rPr>
        <w:fldChar w:fldCharType="begin"/>
      </w:r>
      <w:r w:rsidRPr="00E851B6">
        <w:rPr>
          <w:rFonts w:cs="Calibri"/>
          <w:sz w:val="22"/>
          <w:szCs w:val="22"/>
        </w:rPr>
        <w:instrText xml:space="preserve"> SEQ Table \* ARABIC </w:instrText>
      </w:r>
      <w:r w:rsidRPr="00E851B6">
        <w:rPr>
          <w:rFonts w:cs="Calibri"/>
          <w:sz w:val="22"/>
          <w:szCs w:val="22"/>
        </w:rPr>
        <w:fldChar w:fldCharType="separate"/>
      </w:r>
      <w:r w:rsidRPr="00E851B6">
        <w:rPr>
          <w:rFonts w:cs="Calibri"/>
          <w:noProof/>
          <w:sz w:val="22"/>
          <w:szCs w:val="22"/>
        </w:rPr>
        <w:t>1</w:t>
      </w:r>
      <w:r w:rsidRPr="00E851B6">
        <w:rPr>
          <w:rFonts w:cs="Calibri"/>
          <w:sz w:val="22"/>
          <w:szCs w:val="22"/>
        </w:rPr>
        <w:fldChar w:fldCharType="end"/>
      </w:r>
      <w:r w:rsidRPr="00E851B6">
        <w:rPr>
          <w:rFonts w:cs="Calibri"/>
          <w:sz w:val="22"/>
          <w:szCs w:val="22"/>
        </w:rPr>
        <w:t xml:space="preserve"> NINDS CDE Workgroup – Psychiatry Recommended CDE’s</w:t>
      </w: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710"/>
        <w:gridCol w:w="1710"/>
        <w:gridCol w:w="1800"/>
        <w:gridCol w:w="1800"/>
        <w:gridCol w:w="2970"/>
        <w:gridCol w:w="2160"/>
      </w:tblGrid>
      <w:tr w:rsidR="0087721D" w:rsidRPr="00924A5B" w:rsidTr="00E851B6">
        <w:trPr>
          <w:cantSplit/>
          <w:trHeight w:val="233"/>
          <w:tblHeader/>
        </w:trPr>
        <w:tc>
          <w:tcPr>
            <w:tcW w:w="1818" w:type="dxa"/>
            <w:tcBorders>
              <w:bottom w:val="double" w:sz="4" w:space="0" w:color="auto"/>
            </w:tcBorders>
            <w:shd w:val="clear" w:color="auto" w:fill="D9D9D9"/>
          </w:tcPr>
          <w:p w:rsidR="0087721D" w:rsidRPr="0077685E" w:rsidRDefault="0087721D" w:rsidP="00D14162">
            <w:pPr>
              <w:rPr>
                <w:vertAlign w:val="superscript"/>
              </w:rPr>
            </w:pPr>
            <w:r w:rsidRPr="0077685E">
              <w:t>Type of Instrument</w:t>
            </w:r>
          </w:p>
        </w:tc>
        <w:tc>
          <w:tcPr>
            <w:tcW w:w="1710" w:type="dxa"/>
            <w:tcBorders>
              <w:bottom w:val="single" w:sz="4" w:space="0" w:color="000000"/>
            </w:tcBorders>
            <w:shd w:val="clear" w:color="auto" w:fill="D9D9D9"/>
          </w:tcPr>
          <w:p w:rsidR="0087721D" w:rsidRPr="0077685E" w:rsidRDefault="0087721D" w:rsidP="00D14162">
            <w:r>
              <w:t>Depression</w:t>
            </w:r>
          </w:p>
        </w:tc>
        <w:tc>
          <w:tcPr>
            <w:tcW w:w="1710" w:type="dxa"/>
            <w:tcBorders>
              <w:bottom w:val="single" w:sz="4" w:space="0" w:color="000000"/>
            </w:tcBorders>
            <w:shd w:val="clear" w:color="auto" w:fill="D9D9D9"/>
          </w:tcPr>
          <w:p w:rsidR="0087721D" w:rsidRPr="0077685E" w:rsidRDefault="0087721D" w:rsidP="00D14162">
            <w:r>
              <w:t>Anxiety</w:t>
            </w:r>
          </w:p>
        </w:tc>
        <w:tc>
          <w:tcPr>
            <w:tcW w:w="1800" w:type="dxa"/>
            <w:tcBorders>
              <w:bottom w:val="single" w:sz="4" w:space="0" w:color="000000"/>
            </w:tcBorders>
            <w:shd w:val="clear" w:color="auto" w:fill="D9D9D9"/>
          </w:tcPr>
          <w:p w:rsidR="0087721D" w:rsidRPr="0077685E" w:rsidRDefault="0087721D" w:rsidP="00D14162">
            <w:r>
              <w:t>Psychosis</w:t>
            </w:r>
          </w:p>
        </w:tc>
        <w:tc>
          <w:tcPr>
            <w:tcW w:w="1800" w:type="dxa"/>
            <w:tcBorders>
              <w:bottom w:val="single" w:sz="4" w:space="0" w:color="000000"/>
            </w:tcBorders>
            <w:shd w:val="clear" w:color="auto" w:fill="D9D9D9"/>
          </w:tcPr>
          <w:p w:rsidR="0087721D" w:rsidRPr="0077685E" w:rsidRDefault="0087721D" w:rsidP="00D14162">
            <w:r>
              <w:t>Apathy</w:t>
            </w:r>
          </w:p>
        </w:tc>
        <w:tc>
          <w:tcPr>
            <w:tcW w:w="2970" w:type="dxa"/>
            <w:tcBorders>
              <w:bottom w:val="single" w:sz="4" w:space="0" w:color="000000"/>
            </w:tcBorders>
            <w:shd w:val="clear" w:color="auto" w:fill="D9D9D9"/>
          </w:tcPr>
          <w:p w:rsidR="0087721D" w:rsidRPr="0077685E" w:rsidRDefault="0087721D" w:rsidP="00D14162">
            <w:r w:rsidRPr="00955012">
              <w:t>ICDs</w:t>
            </w:r>
          </w:p>
        </w:tc>
        <w:tc>
          <w:tcPr>
            <w:tcW w:w="2160" w:type="dxa"/>
            <w:tcBorders>
              <w:bottom w:val="single" w:sz="4" w:space="0" w:color="000000"/>
            </w:tcBorders>
            <w:shd w:val="clear" w:color="auto" w:fill="D9D9D9"/>
          </w:tcPr>
          <w:p w:rsidR="0087721D" w:rsidRPr="0077685E" w:rsidRDefault="0087721D" w:rsidP="00D14162">
            <w:r>
              <w:t>Global</w:t>
            </w:r>
          </w:p>
        </w:tc>
      </w:tr>
      <w:tr w:rsidR="0087721D" w:rsidRPr="00741402" w:rsidTr="00D14162">
        <w:trPr>
          <w:cantSplit/>
          <w:trHeight w:val="690"/>
        </w:trPr>
        <w:tc>
          <w:tcPr>
            <w:tcW w:w="1818" w:type="dxa"/>
            <w:tcBorders>
              <w:top w:val="double" w:sz="4" w:space="0" w:color="auto"/>
            </w:tcBorders>
          </w:tcPr>
          <w:p w:rsidR="006F64B4" w:rsidRPr="00741402" w:rsidRDefault="006F64B4" w:rsidP="0087721D">
            <w:r w:rsidRPr="00741402">
              <w:t>Screening Instrument</w:t>
            </w:r>
            <w:bookmarkStart w:id="1" w:name="_Ref388259579"/>
            <w:r w:rsidR="0077685E">
              <w:rPr>
                <w:rStyle w:val="FootnoteReference"/>
                <w:rFonts w:ascii="Times New Roman" w:hAnsi="Times New Roman"/>
                <w:sz w:val="18"/>
                <w:szCs w:val="18"/>
              </w:rPr>
              <w:footnoteReference w:id="1"/>
            </w:r>
            <w:bookmarkEnd w:id="1"/>
          </w:p>
        </w:tc>
        <w:tc>
          <w:tcPr>
            <w:tcW w:w="1710" w:type="dxa"/>
            <w:tcBorders>
              <w:top w:val="double" w:sz="4" w:space="0" w:color="auto"/>
            </w:tcBorders>
          </w:tcPr>
          <w:p w:rsidR="006F64B4" w:rsidRPr="00741402" w:rsidRDefault="006F64B4" w:rsidP="0087721D">
            <w:r w:rsidRPr="00741402">
              <w:t>Beck Depression Inventory (BDI)</w:t>
            </w:r>
            <w:bookmarkStart w:id="2" w:name="_Ref388259416"/>
            <w:r w:rsidR="00786E45">
              <w:rPr>
                <w:rStyle w:val="EndnoteReference"/>
                <w:rFonts w:ascii="Times New Roman" w:hAnsi="Times New Roman"/>
                <w:sz w:val="18"/>
                <w:szCs w:val="18"/>
              </w:rPr>
              <w:endnoteReference w:id="1"/>
            </w:r>
            <w:bookmarkEnd w:id="2"/>
            <w:r w:rsidRPr="00741402">
              <w:t xml:space="preserve"> </w:t>
            </w:r>
          </w:p>
          <w:p w:rsidR="006F64B4" w:rsidRPr="00741402" w:rsidRDefault="006F64B4" w:rsidP="0087721D">
            <w:pPr>
              <w:rPr>
                <w:vertAlign w:val="superscript"/>
              </w:rPr>
            </w:pPr>
            <w:r w:rsidRPr="00741402">
              <w:t>15-item Geriatric Depression Scale (GDS-15)</w:t>
            </w:r>
            <w:r w:rsidR="00786E45">
              <w:rPr>
                <w:vertAlign w:val="superscript"/>
              </w:rPr>
              <w:fldChar w:fldCharType="begin"/>
            </w:r>
            <w:r w:rsidR="00786E45">
              <w:instrText xml:space="preserve"> NOTEREF _Ref388259416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w:t>
            </w:r>
            <w:r w:rsidR="00786E45">
              <w:rPr>
                <w:vertAlign w:val="superscript"/>
              </w:rPr>
              <w:fldChar w:fldCharType="end"/>
            </w:r>
          </w:p>
        </w:tc>
        <w:tc>
          <w:tcPr>
            <w:tcW w:w="1710" w:type="dxa"/>
            <w:tcBorders>
              <w:top w:val="double" w:sz="4" w:space="0" w:color="auto"/>
            </w:tcBorders>
          </w:tcPr>
          <w:p w:rsidR="006F64B4" w:rsidRPr="00741402" w:rsidRDefault="006F64B4" w:rsidP="0087721D">
            <w:pPr>
              <w:rPr>
                <w:vertAlign w:val="superscript"/>
              </w:rPr>
            </w:pPr>
            <w:r w:rsidRPr="00741402">
              <w:t>Hospital Anxiety and Depression Scale (HADS)</w:t>
            </w:r>
            <w:r w:rsidR="00786E45">
              <w:rPr>
                <w:vertAlign w:val="superscript"/>
              </w:rPr>
              <w:fldChar w:fldCharType="begin"/>
            </w:r>
            <w:r w:rsidR="00786E45">
              <w:instrText xml:space="preserve"> NOTEREF _Ref388259416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w:t>
            </w:r>
            <w:r w:rsidR="00786E45">
              <w:rPr>
                <w:vertAlign w:val="superscript"/>
              </w:rPr>
              <w:fldChar w:fldCharType="end"/>
            </w:r>
          </w:p>
        </w:tc>
        <w:tc>
          <w:tcPr>
            <w:tcW w:w="1800" w:type="dxa"/>
            <w:tcBorders>
              <w:top w:val="double" w:sz="4" w:space="0" w:color="auto"/>
            </w:tcBorders>
          </w:tcPr>
          <w:p w:rsidR="006F64B4" w:rsidRPr="00741402" w:rsidRDefault="006F64B4" w:rsidP="0087721D">
            <w:r w:rsidRPr="00741402">
              <w:t>MDS-UPDRS Part I</w:t>
            </w:r>
          </w:p>
        </w:tc>
        <w:tc>
          <w:tcPr>
            <w:tcW w:w="1800" w:type="dxa"/>
            <w:tcBorders>
              <w:top w:val="double" w:sz="4" w:space="0" w:color="auto"/>
            </w:tcBorders>
          </w:tcPr>
          <w:p w:rsidR="006F64B4" w:rsidRPr="00741402" w:rsidRDefault="006F64B4" w:rsidP="0087721D">
            <w:r w:rsidRPr="00741402">
              <w:t>Apathy Scale</w:t>
            </w:r>
            <w:r w:rsidR="00786E45">
              <w:rPr>
                <w:vertAlign w:val="superscript"/>
              </w:rPr>
              <w:t xml:space="preserve"> </w:t>
            </w:r>
            <w:r w:rsidR="00786E45">
              <w:rPr>
                <w:vertAlign w:val="superscript"/>
              </w:rPr>
              <w:fldChar w:fldCharType="begin"/>
            </w:r>
            <w:r w:rsidR="00786E45">
              <w:rPr>
                <w:vertAlign w:val="superscript"/>
              </w:rPr>
              <w:instrText xml:space="preserve"> NOTEREF _Ref388259416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rPr>
                <w:vertAlign w:val="superscript"/>
              </w:rPr>
              <w:t>i</w:t>
            </w:r>
            <w:r w:rsidR="00786E45">
              <w:rPr>
                <w:vertAlign w:val="superscript"/>
              </w:rPr>
              <w:fldChar w:fldCharType="end"/>
            </w:r>
          </w:p>
        </w:tc>
        <w:tc>
          <w:tcPr>
            <w:tcW w:w="2970" w:type="dxa"/>
            <w:tcBorders>
              <w:top w:val="double" w:sz="4" w:space="0" w:color="auto"/>
              <w:right w:val="single" w:sz="4" w:space="0" w:color="000000"/>
            </w:tcBorders>
          </w:tcPr>
          <w:p w:rsidR="006F64B4" w:rsidRPr="00741402" w:rsidRDefault="006F64B4" w:rsidP="0087721D">
            <w:pPr>
              <w:rPr>
                <w:vertAlign w:val="superscript"/>
              </w:rPr>
            </w:pPr>
            <w:r w:rsidRPr="00741402">
              <w:t>Questionnaire for Impulsive-Compulsive Behaviors in Parkinson’s Disease (QUIP)</w:t>
            </w:r>
            <w:r w:rsidR="00786E45">
              <w:rPr>
                <w:vertAlign w:val="superscript"/>
              </w:rPr>
              <w:fldChar w:fldCharType="begin"/>
            </w:r>
            <w:r w:rsidR="00786E45">
              <w:instrText xml:space="preserve"> NOTEREF _Ref388259416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w:t>
            </w:r>
            <w:r w:rsidR="00786E45">
              <w:rPr>
                <w:vertAlign w:val="superscript"/>
              </w:rPr>
              <w:fldChar w:fldCharType="end"/>
            </w:r>
          </w:p>
          <w:p w:rsidR="006F64B4" w:rsidRPr="00741402" w:rsidRDefault="006F64B4" w:rsidP="0087721D">
            <w:pPr>
              <w:rPr>
                <w:vertAlign w:val="superscript"/>
              </w:rPr>
            </w:pPr>
            <w:r w:rsidRPr="00741402">
              <w:t>South Oaks Gambling Screen (SOGS)</w:t>
            </w:r>
            <w:r w:rsidR="00786E45">
              <w:rPr>
                <w:vertAlign w:val="superscript"/>
              </w:rPr>
              <w:fldChar w:fldCharType="begin"/>
            </w:r>
            <w:r w:rsidR="00786E45">
              <w:instrText xml:space="preserve"> NOTEREF _Ref388259416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w:t>
            </w:r>
            <w:r w:rsidR="00786E45">
              <w:rPr>
                <w:vertAlign w:val="superscript"/>
              </w:rPr>
              <w:fldChar w:fldCharType="end"/>
            </w:r>
          </w:p>
        </w:tc>
        <w:tc>
          <w:tcPr>
            <w:tcW w:w="2160" w:type="dxa"/>
            <w:tcBorders>
              <w:top w:val="double" w:sz="4" w:space="0" w:color="auto"/>
              <w:left w:val="double" w:sz="4" w:space="0" w:color="auto"/>
            </w:tcBorders>
          </w:tcPr>
          <w:p w:rsidR="006F64B4" w:rsidRPr="00741402" w:rsidRDefault="006F64B4" w:rsidP="0087721D">
            <w:r w:rsidRPr="00741402">
              <w:t>MDS-UPDRS Part I</w:t>
            </w:r>
          </w:p>
          <w:p w:rsidR="006F64B4" w:rsidRPr="00741402" w:rsidRDefault="006F64B4" w:rsidP="0087721D">
            <w:pPr>
              <w:rPr>
                <w:vertAlign w:val="superscript"/>
              </w:rPr>
            </w:pPr>
            <w:r w:rsidRPr="00741402">
              <w:t>Neuropsychiatric Inventory (NPI)</w:t>
            </w:r>
            <w:bookmarkStart w:id="3" w:name="_Ref388259423"/>
            <w:r w:rsidR="00786E45">
              <w:rPr>
                <w:rStyle w:val="EndnoteReference"/>
                <w:rFonts w:ascii="Times New Roman" w:hAnsi="Times New Roman"/>
                <w:sz w:val="18"/>
                <w:szCs w:val="18"/>
              </w:rPr>
              <w:endnoteReference w:id="2"/>
            </w:r>
            <w:bookmarkEnd w:id="3"/>
          </w:p>
        </w:tc>
      </w:tr>
      <w:tr w:rsidR="0087721D" w:rsidRPr="00741402" w:rsidTr="00D14162">
        <w:trPr>
          <w:cantSplit/>
        </w:trPr>
        <w:tc>
          <w:tcPr>
            <w:tcW w:w="1818" w:type="dxa"/>
          </w:tcPr>
          <w:p w:rsidR="006F64B4" w:rsidRPr="00741402" w:rsidRDefault="006F64B4" w:rsidP="0087721D">
            <w:r w:rsidRPr="00741402">
              <w:t>Rating Scale</w:t>
            </w:r>
            <w:r w:rsidR="0077685E">
              <w:rPr>
                <w:rStyle w:val="FootnoteReference"/>
                <w:rFonts w:ascii="Times New Roman" w:hAnsi="Times New Roman"/>
                <w:sz w:val="18"/>
                <w:szCs w:val="18"/>
              </w:rPr>
              <w:footnoteReference w:id="2"/>
            </w:r>
          </w:p>
        </w:tc>
        <w:tc>
          <w:tcPr>
            <w:tcW w:w="1710" w:type="dxa"/>
          </w:tcPr>
          <w:p w:rsidR="006F64B4" w:rsidRPr="00741402" w:rsidRDefault="006F64B4" w:rsidP="0087721D">
            <w:pPr>
              <w:rPr>
                <w:vertAlign w:val="superscript"/>
              </w:rPr>
            </w:pPr>
            <w:r w:rsidRPr="00741402">
              <w:t>Hamilton Depression Rating Scale-17 item (HDRS-17)</w:t>
            </w:r>
            <w:r w:rsidR="00786E45">
              <w:rPr>
                <w:vertAlign w:val="superscript"/>
              </w:rPr>
              <w:fldChar w:fldCharType="begin"/>
            </w:r>
            <w:r w:rsidR="00786E45">
              <w:instrText xml:space="preserve"> NOTEREF _Ref388259423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ii</w:t>
            </w:r>
            <w:r w:rsidR="00786E45">
              <w:rPr>
                <w:vertAlign w:val="superscript"/>
              </w:rPr>
              <w:fldChar w:fldCharType="end"/>
            </w:r>
          </w:p>
          <w:p w:rsidR="006F64B4" w:rsidRPr="00741402" w:rsidRDefault="006F64B4" w:rsidP="0087721D">
            <w:pPr>
              <w:rPr>
                <w:vertAlign w:val="superscript"/>
              </w:rPr>
            </w:pPr>
            <w:r w:rsidRPr="00741402">
              <w:t>Montgomery-Asberg Rating Scale (MADRS)</w:t>
            </w:r>
            <w:r w:rsidR="00786E45">
              <w:rPr>
                <w:vertAlign w:val="superscript"/>
              </w:rPr>
              <w:fldChar w:fldCharType="begin"/>
            </w:r>
            <w:r w:rsidR="00786E45">
              <w:instrText xml:space="preserve"> NOTEREF _Ref388259423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ii</w:t>
            </w:r>
            <w:r w:rsidR="00786E45">
              <w:rPr>
                <w:vertAlign w:val="superscript"/>
              </w:rPr>
              <w:fldChar w:fldCharType="end"/>
            </w:r>
          </w:p>
        </w:tc>
        <w:tc>
          <w:tcPr>
            <w:tcW w:w="1710" w:type="dxa"/>
          </w:tcPr>
          <w:p w:rsidR="006F64B4" w:rsidRPr="00741402" w:rsidRDefault="006F64B4" w:rsidP="0087721D">
            <w:pPr>
              <w:rPr>
                <w:vertAlign w:val="superscript"/>
              </w:rPr>
            </w:pPr>
            <w:r w:rsidRPr="00741402">
              <w:t>Hamilton Anxiety Rating Scale (HARS)</w:t>
            </w:r>
            <w:r w:rsidR="00786E45">
              <w:rPr>
                <w:vertAlign w:val="superscript"/>
              </w:rPr>
              <w:fldChar w:fldCharType="begin"/>
            </w:r>
            <w:r w:rsidR="00786E45">
              <w:instrText xml:space="preserve"> NOTEREF _Ref388259423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ii</w:t>
            </w:r>
            <w:r w:rsidR="00786E45">
              <w:rPr>
                <w:vertAlign w:val="superscript"/>
              </w:rPr>
              <w:fldChar w:fldCharType="end"/>
            </w:r>
          </w:p>
        </w:tc>
        <w:tc>
          <w:tcPr>
            <w:tcW w:w="1800" w:type="dxa"/>
          </w:tcPr>
          <w:p w:rsidR="006F64B4" w:rsidRPr="00741402" w:rsidRDefault="006F64B4" w:rsidP="0087721D">
            <w:r w:rsidRPr="00741402">
              <w:t>1. Brief Psychiatric Rating Scale (BPRS)</w:t>
            </w:r>
          </w:p>
          <w:p w:rsidR="006F64B4" w:rsidRPr="00741402" w:rsidRDefault="006F64B4" w:rsidP="0087721D">
            <w:pPr>
              <w:rPr>
                <w:sz w:val="20"/>
                <w:szCs w:val="20"/>
              </w:rPr>
            </w:pPr>
            <w:r w:rsidRPr="00741402">
              <w:t>2. Schedule for the Assessment of Positive Symptoms (SAPS)</w:t>
            </w:r>
          </w:p>
        </w:tc>
        <w:tc>
          <w:tcPr>
            <w:tcW w:w="1800" w:type="dxa"/>
          </w:tcPr>
          <w:p w:rsidR="006F64B4" w:rsidRPr="00741402" w:rsidRDefault="006F64B4" w:rsidP="0087721D">
            <w:r w:rsidRPr="00741402">
              <w:t>Apathy Scale</w:t>
            </w:r>
            <w:r w:rsidR="00786E45">
              <w:rPr>
                <w:vertAlign w:val="superscript"/>
              </w:rPr>
              <w:t xml:space="preserve"> </w:t>
            </w:r>
            <w:r w:rsidR="00786E45">
              <w:rPr>
                <w:vertAlign w:val="superscript"/>
              </w:rPr>
              <w:fldChar w:fldCharType="begin"/>
            </w:r>
            <w:r w:rsidR="00786E45">
              <w:rPr>
                <w:vertAlign w:val="superscript"/>
              </w:rPr>
              <w:instrText xml:space="preserve"> NOTEREF _Ref388259416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rPr>
                <w:vertAlign w:val="superscript"/>
              </w:rPr>
              <w:t>i</w:t>
            </w:r>
            <w:r w:rsidR="00786E45">
              <w:rPr>
                <w:vertAlign w:val="superscript"/>
              </w:rPr>
              <w:fldChar w:fldCharType="end"/>
            </w:r>
          </w:p>
        </w:tc>
        <w:tc>
          <w:tcPr>
            <w:tcW w:w="2970" w:type="dxa"/>
            <w:tcBorders>
              <w:right w:val="single" w:sz="4" w:space="0" w:color="000000"/>
            </w:tcBorders>
          </w:tcPr>
          <w:p w:rsidR="006F64B4" w:rsidRPr="00741402" w:rsidRDefault="006F64B4" w:rsidP="0087721D">
            <w:pPr>
              <w:rPr>
                <w:vertAlign w:val="superscript"/>
              </w:rPr>
            </w:pPr>
            <w:r w:rsidRPr="00741402">
              <w:rPr>
                <w:u w:val="single"/>
              </w:rPr>
              <w:t>Gambling</w:t>
            </w:r>
            <w:r w:rsidRPr="00741402">
              <w:t xml:space="preserve"> - Gambling Symptom Assessment Scale</w:t>
            </w:r>
            <w:r w:rsidR="00786E45">
              <w:rPr>
                <w:vertAlign w:val="superscript"/>
              </w:rPr>
              <w:fldChar w:fldCharType="begin"/>
            </w:r>
            <w:r w:rsidR="00786E45">
              <w:instrText xml:space="preserve"> NOTEREF _Ref388259416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w:t>
            </w:r>
            <w:r w:rsidR="00786E45">
              <w:rPr>
                <w:vertAlign w:val="superscript"/>
              </w:rPr>
              <w:fldChar w:fldCharType="end"/>
            </w:r>
          </w:p>
          <w:p w:rsidR="006F64B4" w:rsidRPr="00741402" w:rsidRDefault="006F64B4" w:rsidP="0087721D">
            <w:r w:rsidRPr="00741402">
              <w:rPr>
                <w:u w:val="single"/>
              </w:rPr>
              <w:t>Buying</w:t>
            </w:r>
            <w:r w:rsidRPr="00741402">
              <w:t xml:space="preserve"> - Buying Questionnaire</w:t>
            </w:r>
            <w:r w:rsidR="00786E45">
              <w:rPr>
                <w:vertAlign w:val="superscript"/>
              </w:rPr>
              <w:fldChar w:fldCharType="begin"/>
            </w:r>
            <w:r w:rsidR="00786E45">
              <w:instrText xml:space="preserve"> NOTEREF _Ref388259416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w:t>
            </w:r>
            <w:r w:rsidR="00786E45">
              <w:rPr>
                <w:vertAlign w:val="superscript"/>
              </w:rPr>
              <w:fldChar w:fldCharType="end"/>
            </w:r>
          </w:p>
          <w:p w:rsidR="006F64B4" w:rsidRPr="00741402" w:rsidRDefault="006F64B4" w:rsidP="0087721D">
            <w:r w:rsidRPr="00741402">
              <w:rPr>
                <w:u w:val="single"/>
              </w:rPr>
              <w:t>Sexual behavior</w:t>
            </w:r>
            <w:r w:rsidRPr="00741402">
              <w:t xml:space="preserve"> -Sexual Compulsivity Scale</w:t>
            </w:r>
            <w:r w:rsidR="00786E45">
              <w:rPr>
                <w:vertAlign w:val="superscript"/>
              </w:rPr>
              <w:fldChar w:fldCharType="begin"/>
            </w:r>
            <w:r w:rsidR="00786E45">
              <w:instrText xml:space="preserve"> NOTEREF _Ref388259416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w:t>
            </w:r>
            <w:r w:rsidR="00786E45">
              <w:rPr>
                <w:vertAlign w:val="superscript"/>
              </w:rPr>
              <w:fldChar w:fldCharType="end"/>
            </w:r>
          </w:p>
          <w:p w:rsidR="006F64B4" w:rsidRPr="00741402" w:rsidRDefault="006F64B4" w:rsidP="0087721D">
            <w:r w:rsidRPr="00741402">
              <w:rPr>
                <w:u w:val="single"/>
              </w:rPr>
              <w:t>Eating</w:t>
            </w:r>
            <w:r w:rsidRPr="00741402">
              <w:t xml:space="preserve"> - Compulsive Eating Scale</w:t>
            </w:r>
            <w:r w:rsidR="00786E45">
              <w:rPr>
                <w:vertAlign w:val="superscript"/>
              </w:rPr>
              <w:fldChar w:fldCharType="begin"/>
            </w:r>
            <w:r w:rsidR="00786E45">
              <w:instrText xml:space="preserve"> NOTEREF _Ref388259416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w:t>
            </w:r>
            <w:r w:rsidR="00786E45">
              <w:rPr>
                <w:vertAlign w:val="superscript"/>
              </w:rPr>
              <w:fldChar w:fldCharType="end"/>
            </w:r>
          </w:p>
        </w:tc>
        <w:tc>
          <w:tcPr>
            <w:tcW w:w="2160" w:type="dxa"/>
            <w:tcBorders>
              <w:left w:val="double" w:sz="4" w:space="0" w:color="auto"/>
            </w:tcBorders>
          </w:tcPr>
          <w:p w:rsidR="006F64B4" w:rsidRPr="00741402" w:rsidRDefault="006F64B4" w:rsidP="0087721D">
            <w:pPr>
              <w:rPr>
                <w:vertAlign w:val="superscript"/>
              </w:rPr>
            </w:pPr>
            <w:r w:rsidRPr="00741402">
              <w:t>Neuropsychiatric Inventory (NPI)</w:t>
            </w:r>
          </w:p>
        </w:tc>
      </w:tr>
      <w:tr w:rsidR="0087721D" w:rsidRPr="00741402" w:rsidTr="00D14162">
        <w:trPr>
          <w:cantSplit/>
        </w:trPr>
        <w:tc>
          <w:tcPr>
            <w:tcW w:w="1818" w:type="dxa"/>
          </w:tcPr>
          <w:p w:rsidR="006F64B4" w:rsidRPr="00741402" w:rsidRDefault="006F64B4" w:rsidP="0087721D">
            <w:r w:rsidRPr="00741402">
              <w:lastRenderedPageBreak/>
              <w:t>Diagnostic Criteria</w:t>
            </w:r>
            <w:r w:rsidR="0077685E">
              <w:rPr>
                <w:rStyle w:val="FootnoteReference"/>
                <w:rFonts w:ascii="Times New Roman" w:hAnsi="Times New Roman"/>
                <w:sz w:val="18"/>
                <w:szCs w:val="18"/>
              </w:rPr>
              <w:footnoteReference w:id="3"/>
            </w:r>
          </w:p>
        </w:tc>
        <w:tc>
          <w:tcPr>
            <w:tcW w:w="1710" w:type="dxa"/>
          </w:tcPr>
          <w:p w:rsidR="006F64B4" w:rsidRPr="00741402" w:rsidRDefault="006F64B4" w:rsidP="0087721D">
            <w:r w:rsidRPr="00741402">
              <w:t>DSM-IV-TR</w:t>
            </w:r>
          </w:p>
        </w:tc>
        <w:tc>
          <w:tcPr>
            <w:tcW w:w="1710" w:type="dxa"/>
          </w:tcPr>
          <w:p w:rsidR="006F64B4" w:rsidRPr="00741402" w:rsidRDefault="006F64B4" w:rsidP="0087721D">
            <w:r w:rsidRPr="00741402">
              <w:t>DSM-IV-TR</w:t>
            </w:r>
          </w:p>
        </w:tc>
        <w:tc>
          <w:tcPr>
            <w:tcW w:w="1800" w:type="dxa"/>
          </w:tcPr>
          <w:p w:rsidR="006F64B4" w:rsidRPr="00741402" w:rsidRDefault="006F64B4" w:rsidP="0087721D">
            <w:r w:rsidRPr="00741402">
              <w:t>Proposed diagnostic criteria for psychosis in Parkinson’s disease</w:t>
            </w:r>
          </w:p>
        </w:tc>
        <w:tc>
          <w:tcPr>
            <w:tcW w:w="1800" w:type="dxa"/>
          </w:tcPr>
          <w:p w:rsidR="006F64B4" w:rsidRPr="00741402" w:rsidRDefault="006F64B4" w:rsidP="0087721D">
            <w:r w:rsidRPr="00741402">
              <w:t>Proposed diagnostic criteria for the syndrome of apathy</w:t>
            </w:r>
          </w:p>
        </w:tc>
        <w:tc>
          <w:tcPr>
            <w:tcW w:w="2970" w:type="dxa"/>
            <w:tcBorders>
              <w:right w:val="single" w:sz="4" w:space="0" w:color="000000"/>
            </w:tcBorders>
          </w:tcPr>
          <w:p w:rsidR="006F64B4" w:rsidRPr="00741402" w:rsidRDefault="006F64B4" w:rsidP="0087721D">
            <w:r w:rsidRPr="00741402">
              <w:rPr>
                <w:u w:val="single"/>
              </w:rPr>
              <w:t>Gambling</w:t>
            </w:r>
            <w:r w:rsidRPr="00741402">
              <w:t xml:space="preserve"> - DSM-IV criteria for pathological gambling</w:t>
            </w:r>
          </w:p>
          <w:p w:rsidR="006F64B4" w:rsidRPr="00741402" w:rsidRDefault="006F64B4" w:rsidP="0087721D">
            <w:r w:rsidRPr="00741402">
              <w:rPr>
                <w:u w:val="single"/>
              </w:rPr>
              <w:t>Buying</w:t>
            </w:r>
            <w:r w:rsidRPr="00741402">
              <w:t xml:space="preserve"> - McElroy criteria for buying</w:t>
            </w:r>
          </w:p>
          <w:p w:rsidR="006F64B4" w:rsidRPr="00741402" w:rsidRDefault="006F64B4" w:rsidP="0087721D">
            <w:r w:rsidRPr="00741402">
              <w:rPr>
                <w:u w:val="single"/>
              </w:rPr>
              <w:t>Sexual behavior</w:t>
            </w:r>
            <w:r w:rsidRPr="00741402">
              <w:t xml:space="preserve"> - Voon criteria for sexual behavior</w:t>
            </w:r>
          </w:p>
          <w:p w:rsidR="006F64B4" w:rsidRPr="00741402" w:rsidRDefault="006F64B4" w:rsidP="0087721D">
            <w:r w:rsidRPr="00741402">
              <w:rPr>
                <w:u w:val="single"/>
              </w:rPr>
              <w:t>Eating</w:t>
            </w:r>
            <w:r w:rsidRPr="00741402">
              <w:t xml:space="preserve"> - Modified proposed DSM-IV binge eating disorder criteria</w:t>
            </w:r>
          </w:p>
        </w:tc>
        <w:tc>
          <w:tcPr>
            <w:tcW w:w="2160" w:type="dxa"/>
            <w:tcBorders>
              <w:left w:val="double" w:sz="4" w:space="0" w:color="auto"/>
            </w:tcBorders>
          </w:tcPr>
          <w:p w:rsidR="006F64B4" w:rsidRPr="00741402" w:rsidRDefault="006F64B4" w:rsidP="0087721D">
            <w:r w:rsidRPr="00741402">
              <w:t>None recommended.</w:t>
            </w:r>
          </w:p>
        </w:tc>
      </w:tr>
      <w:tr w:rsidR="0087721D" w:rsidRPr="00741402" w:rsidTr="00D14162">
        <w:trPr>
          <w:cantSplit/>
        </w:trPr>
        <w:tc>
          <w:tcPr>
            <w:tcW w:w="1818" w:type="dxa"/>
          </w:tcPr>
          <w:p w:rsidR="006F64B4" w:rsidRPr="00741402" w:rsidRDefault="006F64B4" w:rsidP="0087721D">
            <w:r w:rsidRPr="00741402">
              <w:t>Diagnostic Instrument</w:t>
            </w:r>
            <w:r w:rsidR="004A4743">
              <w:rPr>
                <w:vertAlign w:val="superscript"/>
              </w:rPr>
              <w:fldChar w:fldCharType="begin"/>
            </w:r>
            <w:r w:rsidR="004A4743">
              <w:instrText xml:space="preserve"> NOTEREF _Ref388259579 \f \h </w:instrText>
            </w:r>
            <w:r w:rsidR="0087721D">
              <w:rPr>
                <w:vertAlign w:val="superscript"/>
              </w:rPr>
              <w:instrText xml:space="preserve"> \* MERGEFORMAT </w:instrText>
            </w:r>
            <w:r w:rsidR="004A4743">
              <w:rPr>
                <w:vertAlign w:val="superscript"/>
              </w:rPr>
            </w:r>
            <w:r w:rsidR="004A4743">
              <w:rPr>
                <w:vertAlign w:val="superscript"/>
              </w:rPr>
              <w:fldChar w:fldCharType="separate"/>
            </w:r>
            <w:r w:rsidR="004A4743" w:rsidRPr="004A4743">
              <w:rPr>
                <w:rStyle w:val="FootnoteReference"/>
              </w:rPr>
              <w:t>1</w:t>
            </w:r>
            <w:r w:rsidR="004A4743">
              <w:rPr>
                <w:vertAlign w:val="superscript"/>
              </w:rPr>
              <w:fldChar w:fldCharType="end"/>
            </w:r>
          </w:p>
        </w:tc>
        <w:tc>
          <w:tcPr>
            <w:tcW w:w="1710" w:type="dxa"/>
          </w:tcPr>
          <w:p w:rsidR="006F64B4" w:rsidRPr="00741402" w:rsidRDefault="006F64B4" w:rsidP="0087721D">
            <w:pPr>
              <w:rPr>
                <w:vertAlign w:val="superscript"/>
              </w:rPr>
            </w:pPr>
            <w:r w:rsidRPr="00741402">
              <w:t>Structured Clinical Interview for DSM-IV (SCID)</w:t>
            </w:r>
            <w:r w:rsidR="00786E45">
              <w:rPr>
                <w:vertAlign w:val="superscript"/>
              </w:rPr>
              <w:fldChar w:fldCharType="begin"/>
            </w:r>
            <w:r w:rsidR="00786E45">
              <w:instrText xml:space="preserve"> NOTEREF _Ref388259423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ii</w:t>
            </w:r>
            <w:r w:rsidR="00786E45">
              <w:rPr>
                <w:vertAlign w:val="superscript"/>
              </w:rPr>
              <w:fldChar w:fldCharType="end"/>
            </w:r>
          </w:p>
        </w:tc>
        <w:tc>
          <w:tcPr>
            <w:tcW w:w="1710" w:type="dxa"/>
          </w:tcPr>
          <w:p w:rsidR="006F64B4" w:rsidRPr="00741402" w:rsidRDefault="006F64B4" w:rsidP="0087721D">
            <w:r w:rsidRPr="00741402">
              <w:t>Structured Clinical Interview for DSM-IV (SCID)</w:t>
            </w:r>
            <w:r w:rsidR="00786E45">
              <w:fldChar w:fldCharType="begin"/>
            </w:r>
            <w:r w:rsidR="00786E45">
              <w:instrText xml:space="preserve"> NOTEREF _Ref388259423 \h </w:instrText>
            </w:r>
            <w:r w:rsidR="0087721D">
              <w:instrText xml:space="preserve"> \* MERGEFORMAT </w:instrText>
            </w:r>
            <w:r w:rsidR="00786E45">
              <w:fldChar w:fldCharType="separate"/>
            </w:r>
            <w:r w:rsidR="00786E45">
              <w:t>ii</w:t>
            </w:r>
            <w:r w:rsidR="00786E45">
              <w:fldChar w:fldCharType="end"/>
            </w:r>
          </w:p>
        </w:tc>
        <w:tc>
          <w:tcPr>
            <w:tcW w:w="1800" w:type="dxa"/>
          </w:tcPr>
          <w:p w:rsidR="006F64B4" w:rsidRPr="00741402" w:rsidRDefault="006F64B4" w:rsidP="0087721D">
            <w:r w:rsidRPr="00741402">
              <w:t>None recommended.</w:t>
            </w:r>
          </w:p>
        </w:tc>
        <w:tc>
          <w:tcPr>
            <w:tcW w:w="1800" w:type="dxa"/>
          </w:tcPr>
          <w:p w:rsidR="006F64B4" w:rsidRPr="00741402" w:rsidRDefault="006F64B4" w:rsidP="0087721D">
            <w:r w:rsidRPr="00741402">
              <w:t>None recommended.</w:t>
            </w:r>
          </w:p>
        </w:tc>
        <w:tc>
          <w:tcPr>
            <w:tcW w:w="2970" w:type="dxa"/>
            <w:tcBorders>
              <w:right w:val="single" w:sz="4" w:space="0" w:color="000000"/>
            </w:tcBorders>
          </w:tcPr>
          <w:p w:rsidR="006F64B4" w:rsidRPr="00741402" w:rsidRDefault="006F64B4" w:rsidP="0087721D">
            <w:r w:rsidRPr="00741402">
              <w:rPr>
                <w:u w:val="single"/>
              </w:rPr>
              <w:t>Gambling</w:t>
            </w:r>
            <w:r w:rsidRPr="00741402">
              <w:t xml:space="preserve"> - Structured Clinical Interview for Pathological Gambling</w:t>
            </w:r>
          </w:p>
        </w:tc>
        <w:tc>
          <w:tcPr>
            <w:tcW w:w="2160" w:type="dxa"/>
            <w:tcBorders>
              <w:left w:val="double" w:sz="4" w:space="0" w:color="auto"/>
            </w:tcBorders>
          </w:tcPr>
          <w:p w:rsidR="006F64B4" w:rsidRPr="00741402" w:rsidRDefault="006F64B4" w:rsidP="0087721D">
            <w:r w:rsidRPr="00741402">
              <w:t>None recommended.</w:t>
            </w:r>
          </w:p>
        </w:tc>
      </w:tr>
      <w:tr w:rsidR="0087721D" w:rsidRPr="00741402" w:rsidTr="00D14162">
        <w:trPr>
          <w:cantSplit/>
        </w:trPr>
        <w:tc>
          <w:tcPr>
            <w:tcW w:w="1818" w:type="dxa"/>
          </w:tcPr>
          <w:p w:rsidR="006F64B4" w:rsidRPr="00741402" w:rsidRDefault="006F64B4" w:rsidP="0087721D">
            <w:r w:rsidRPr="00741402">
              <w:t>Strongly Recommended Instrument</w:t>
            </w:r>
            <w:r w:rsidR="00786E45">
              <w:rPr>
                <w:rStyle w:val="FootnoteReference"/>
                <w:rFonts w:ascii="Times New Roman" w:hAnsi="Times New Roman"/>
                <w:sz w:val="18"/>
                <w:szCs w:val="18"/>
              </w:rPr>
              <w:footnoteReference w:id="4"/>
            </w:r>
          </w:p>
        </w:tc>
        <w:tc>
          <w:tcPr>
            <w:tcW w:w="1710" w:type="dxa"/>
          </w:tcPr>
          <w:p w:rsidR="006F64B4" w:rsidRPr="00741402" w:rsidRDefault="006F64B4" w:rsidP="0087721D">
            <w:pPr>
              <w:rPr>
                <w:vertAlign w:val="superscript"/>
              </w:rPr>
            </w:pPr>
            <w:r w:rsidRPr="00741402">
              <w:t>Hamilton Depression Rating Scale-17 (HDRS-17)</w:t>
            </w:r>
            <w:r w:rsidR="004A4743">
              <w:rPr>
                <w:vertAlign w:val="superscript"/>
              </w:rPr>
              <w:fldChar w:fldCharType="begin"/>
            </w:r>
            <w:r w:rsidR="004A4743">
              <w:instrText xml:space="preserve"> NOTEREF _Ref388259423 \f \h </w:instrText>
            </w:r>
            <w:r w:rsidR="0087721D">
              <w:rPr>
                <w:vertAlign w:val="superscript"/>
              </w:rPr>
              <w:instrText xml:space="preserve"> \* MERGEFORMAT </w:instrText>
            </w:r>
            <w:r w:rsidR="004A4743">
              <w:rPr>
                <w:vertAlign w:val="superscript"/>
              </w:rPr>
            </w:r>
            <w:r w:rsidR="004A4743">
              <w:rPr>
                <w:vertAlign w:val="superscript"/>
              </w:rPr>
              <w:fldChar w:fldCharType="separate"/>
            </w:r>
            <w:r w:rsidR="004A4743" w:rsidRPr="004A4743">
              <w:rPr>
                <w:rStyle w:val="EndnoteReference"/>
              </w:rPr>
              <w:t>ii</w:t>
            </w:r>
            <w:r w:rsidR="004A4743">
              <w:rPr>
                <w:vertAlign w:val="superscript"/>
              </w:rPr>
              <w:fldChar w:fldCharType="end"/>
            </w:r>
          </w:p>
        </w:tc>
        <w:tc>
          <w:tcPr>
            <w:tcW w:w="1710" w:type="dxa"/>
          </w:tcPr>
          <w:p w:rsidR="006F64B4" w:rsidRPr="00741402" w:rsidRDefault="006F64B4" w:rsidP="0087721D">
            <w:r w:rsidRPr="00741402">
              <w:t>Hamilton Anxiety Rating Scale (HARS)</w:t>
            </w:r>
            <w:r w:rsidR="00786E45">
              <w:rPr>
                <w:vertAlign w:val="superscript"/>
              </w:rPr>
              <w:fldChar w:fldCharType="begin"/>
            </w:r>
            <w:r w:rsidR="00786E45">
              <w:instrText xml:space="preserve"> NOTEREF _Ref388259423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ii</w:t>
            </w:r>
            <w:r w:rsidR="00786E45">
              <w:rPr>
                <w:vertAlign w:val="superscript"/>
              </w:rPr>
              <w:fldChar w:fldCharType="end"/>
            </w:r>
          </w:p>
        </w:tc>
        <w:tc>
          <w:tcPr>
            <w:tcW w:w="1800" w:type="dxa"/>
          </w:tcPr>
          <w:p w:rsidR="0087721D" w:rsidRDefault="006F64B4" w:rsidP="0087721D">
            <w:r w:rsidRPr="00741402">
              <w:t>1. Brief Psychiatric Rating Scale (BPRS)</w:t>
            </w:r>
          </w:p>
          <w:p w:rsidR="006F64B4" w:rsidRPr="00741402" w:rsidRDefault="006F64B4" w:rsidP="0087721D">
            <w:r w:rsidRPr="00741402">
              <w:t>2. Schedule for the Assessment of Positive Symptoms (SAPS)</w:t>
            </w:r>
          </w:p>
        </w:tc>
        <w:tc>
          <w:tcPr>
            <w:tcW w:w="1800" w:type="dxa"/>
          </w:tcPr>
          <w:p w:rsidR="006F64B4" w:rsidRPr="00741402" w:rsidRDefault="006F64B4" w:rsidP="0087721D">
            <w:r w:rsidRPr="00741402">
              <w:t>Apathy Scale</w:t>
            </w:r>
            <w:r w:rsidR="00786E45">
              <w:rPr>
                <w:vertAlign w:val="superscript"/>
              </w:rPr>
              <w:t xml:space="preserve"> </w:t>
            </w:r>
            <w:r w:rsidR="00786E45">
              <w:rPr>
                <w:vertAlign w:val="superscript"/>
              </w:rPr>
              <w:fldChar w:fldCharType="begin"/>
            </w:r>
            <w:r w:rsidR="00786E45">
              <w:rPr>
                <w:vertAlign w:val="superscript"/>
              </w:rPr>
              <w:instrText xml:space="preserve"> NOTEREF _Ref388259416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rPr>
                <w:vertAlign w:val="superscript"/>
              </w:rPr>
              <w:t>i</w:t>
            </w:r>
            <w:r w:rsidR="00786E45">
              <w:rPr>
                <w:vertAlign w:val="superscript"/>
              </w:rPr>
              <w:fldChar w:fldCharType="end"/>
            </w:r>
          </w:p>
        </w:tc>
        <w:tc>
          <w:tcPr>
            <w:tcW w:w="2970" w:type="dxa"/>
            <w:tcBorders>
              <w:right w:val="single" w:sz="4" w:space="0" w:color="000000"/>
            </w:tcBorders>
          </w:tcPr>
          <w:p w:rsidR="006F64B4" w:rsidRPr="00741402" w:rsidRDefault="006F64B4" w:rsidP="0087721D">
            <w:pPr>
              <w:rPr>
                <w:vertAlign w:val="superscript"/>
              </w:rPr>
            </w:pPr>
            <w:r w:rsidRPr="00741402">
              <w:t>None.</w:t>
            </w:r>
          </w:p>
        </w:tc>
        <w:tc>
          <w:tcPr>
            <w:tcW w:w="2160" w:type="dxa"/>
            <w:tcBorders>
              <w:left w:val="double" w:sz="4" w:space="0" w:color="auto"/>
            </w:tcBorders>
          </w:tcPr>
          <w:p w:rsidR="006F64B4" w:rsidRPr="00741402" w:rsidRDefault="006F64B4" w:rsidP="0087721D">
            <w:pPr>
              <w:rPr>
                <w:vertAlign w:val="superscript"/>
              </w:rPr>
            </w:pPr>
            <w:r w:rsidRPr="00741402">
              <w:t>Neuropsychiatric Inventory (NPI)</w:t>
            </w:r>
            <w:r w:rsidR="00786E45">
              <w:rPr>
                <w:vertAlign w:val="superscript"/>
              </w:rPr>
              <w:fldChar w:fldCharType="begin"/>
            </w:r>
            <w:r w:rsidR="00786E45">
              <w:instrText xml:space="preserve"> NOTEREF _Ref388259423 \h </w:instrText>
            </w:r>
            <w:r w:rsidR="0087721D">
              <w:rPr>
                <w:vertAlign w:val="superscript"/>
              </w:rPr>
              <w:instrText xml:space="preserve"> \* MERGEFORMAT </w:instrText>
            </w:r>
            <w:r w:rsidR="00786E45">
              <w:rPr>
                <w:vertAlign w:val="superscript"/>
              </w:rPr>
            </w:r>
            <w:r w:rsidR="00786E45">
              <w:rPr>
                <w:vertAlign w:val="superscript"/>
              </w:rPr>
              <w:fldChar w:fldCharType="separate"/>
            </w:r>
            <w:r w:rsidR="00786E45">
              <w:t>ii</w:t>
            </w:r>
            <w:r w:rsidR="00786E45">
              <w:rPr>
                <w:vertAlign w:val="superscript"/>
              </w:rPr>
              <w:fldChar w:fldCharType="end"/>
            </w:r>
          </w:p>
        </w:tc>
      </w:tr>
    </w:tbl>
    <w:p w:rsidR="006F64B4" w:rsidRPr="00741402" w:rsidRDefault="006F64B4" w:rsidP="006F64B4">
      <w:pPr>
        <w:spacing w:after="0" w:line="240" w:lineRule="auto"/>
        <w:rPr>
          <w:rFonts w:ascii="Times New Roman" w:hAnsi="Times New Roman"/>
          <w:sz w:val="20"/>
          <w:szCs w:val="20"/>
        </w:rPr>
      </w:pPr>
    </w:p>
    <w:p w:rsidR="00786E45" w:rsidRPr="00714519" w:rsidRDefault="00786E45" w:rsidP="0008240E">
      <w:pPr>
        <w:spacing w:after="0" w:line="240" w:lineRule="auto"/>
        <w:rPr>
          <w:rFonts w:ascii="Times New Roman" w:hAnsi="Times New Roman"/>
          <w:sz w:val="20"/>
          <w:szCs w:val="20"/>
        </w:rPr>
      </w:pPr>
    </w:p>
    <w:sectPr w:rsidR="00786E45" w:rsidRPr="00714519" w:rsidSect="00E14CFE">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0A" w:rsidRDefault="00BC6A0A" w:rsidP="007577FD">
      <w:pPr>
        <w:spacing w:after="0" w:line="240" w:lineRule="auto"/>
      </w:pPr>
      <w:r>
        <w:separator/>
      </w:r>
    </w:p>
  </w:endnote>
  <w:endnote w:type="continuationSeparator" w:id="0">
    <w:p w:rsidR="00BC6A0A" w:rsidRDefault="00BC6A0A" w:rsidP="007577FD">
      <w:pPr>
        <w:spacing w:after="0" w:line="240" w:lineRule="auto"/>
      </w:pPr>
      <w:r>
        <w:continuationSeparator/>
      </w:r>
    </w:p>
  </w:endnote>
  <w:endnote w:id="1">
    <w:p w:rsidR="00786E45" w:rsidRPr="00786E45" w:rsidRDefault="00786E45" w:rsidP="00786E45">
      <w:pPr>
        <w:spacing w:after="0" w:line="240" w:lineRule="auto"/>
        <w:rPr>
          <w:rFonts w:ascii="Times New Roman" w:hAnsi="Times New Roman"/>
          <w:sz w:val="20"/>
          <w:szCs w:val="20"/>
        </w:rPr>
      </w:pPr>
      <w:r>
        <w:rPr>
          <w:rStyle w:val="EndnoteReference"/>
        </w:rPr>
        <w:endnoteRef/>
      </w:r>
      <w:r>
        <w:t xml:space="preserve"> </w:t>
      </w:r>
      <w:r w:rsidRPr="00741402">
        <w:rPr>
          <w:rFonts w:ascii="Times New Roman" w:hAnsi="Times New Roman"/>
          <w:sz w:val="20"/>
          <w:szCs w:val="20"/>
          <w:u w:val="single"/>
        </w:rPr>
        <w:t>SA</w:t>
      </w:r>
      <w:r w:rsidRPr="00741402">
        <w:rPr>
          <w:rFonts w:ascii="Times New Roman" w:hAnsi="Times New Roman"/>
          <w:sz w:val="20"/>
          <w:szCs w:val="20"/>
        </w:rPr>
        <w:t xml:space="preserve"> = self-administered</w:t>
      </w:r>
    </w:p>
  </w:endnote>
  <w:endnote w:id="2">
    <w:p w:rsidR="00786E45" w:rsidRDefault="00786E45" w:rsidP="00786E45">
      <w:pPr>
        <w:spacing w:after="0" w:line="240" w:lineRule="auto"/>
        <w:rPr>
          <w:rFonts w:ascii="Times New Roman" w:hAnsi="Times New Roman"/>
          <w:sz w:val="20"/>
          <w:szCs w:val="20"/>
        </w:rPr>
      </w:pPr>
      <w:r>
        <w:rPr>
          <w:rStyle w:val="EndnoteReference"/>
        </w:rPr>
        <w:endnoteRef/>
      </w:r>
      <w:r w:rsidRPr="00741402">
        <w:rPr>
          <w:rFonts w:ascii="Times New Roman" w:hAnsi="Times New Roman"/>
          <w:sz w:val="20"/>
          <w:szCs w:val="20"/>
          <w:u w:val="single"/>
        </w:rPr>
        <w:t>RA</w:t>
      </w:r>
      <w:r w:rsidRPr="00741402">
        <w:rPr>
          <w:rFonts w:ascii="Times New Roman" w:hAnsi="Times New Roman"/>
          <w:sz w:val="20"/>
          <w:szCs w:val="20"/>
        </w:rPr>
        <w:t xml:space="preserve"> = rater-administered</w:t>
      </w:r>
    </w:p>
    <w:p w:rsidR="00786E45" w:rsidRDefault="00786E4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7F" w:rsidRDefault="00D14162" w:rsidP="00E851B6">
    <w:pPr>
      <w:pStyle w:val="Footer"/>
      <w:tabs>
        <w:tab w:val="clear" w:pos="4680"/>
        <w:tab w:val="clear" w:pos="9360"/>
        <w:tab w:val="left" w:pos="9720"/>
      </w:tabs>
    </w:pPr>
    <w:r w:rsidRPr="00E851B6">
      <w:t>PD CDE Version 2.0</w:t>
    </w:r>
    <w:r w:rsidR="00E851B6">
      <w:tab/>
    </w:r>
    <w:r w:rsidR="00B26E7F" w:rsidRPr="00E851B6">
      <w:t xml:space="preserve">Page </w:t>
    </w:r>
    <w:r w:rsidR="00B26E7F" w:rsidRPr="00E851B6">
      <w:rPr>
        <w:sz w:val="24"/>
        <w:szCs w:val="24"/>
      </w:rPr>
      <w:fldChar w:fldCharType="begin"/>
    </w:r>
    <w:r w:rsidR="00B26E7F" w:rsidRPr="00E851B6">
      <w:instrText xml:space="preserve"> PAGE </w:instrText>
    </w:r>
    <w:r w:rsidR="00B26E7F" w:rsidRPr="00E851B6">
      <w:rPr>
        <w:sz w:val="24"/>
        <w:szCs w:val="24"/>
      </w:rPr>
      <w:fldChar w:fldCharType="separate"/>
    </w:r>
    <w:r w:rsidR="00E851B6">
      <w:rPr>
        <w:noProof/>
      </w:rPr>
      <w:t>2</w:t>
    </w:r>
    <w:r w:rsidR="00B26E7F" w:rsidRPr="00E851B6">
      <w:rPr>
        <w:sz w:val="24"/>
        <w:szCs w:val="24"/>
      </w:rPr>
      <w:fldChar w:fldCharType="end"/>
    </w:r>
    <w:r w:rsidR="00B26E7F" w:rsidRPr="00E851B6">
      <w:t xml:space="preserve"> of </w:t>
    </w:r>
    <w:fldSimple w:instr=" NUMPAGES  ">
      <w:r w:rsidR="00E851B6">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0A" w:rsidRDefault="00BC6A0A" w:rsidP="007577FD">
      <w:pPr>
        <w:spacing w:after="0" w:line="240" w:lineRule="auto"/>
      </w:pPr>
      <w:r>
        <w:separator/>
      </w:r>
    </w:p>
  </w:footnote>
  <w:footnote w:type="continuationSeparator" w:id="0">
    <w:p w:rsidR="00BC6A0A" w:rsidRDefault="00BC6A0A" w:rsidP="007577FD">
      <w:pPr>
        <w:spacing w:after="0" w:line="240" w:lineRule="auto"/>
      </w:pPr>
      <w:r>
        <w:continuationSeparator/>
      </w:r>
    </w:p>
  </w:footnote>
  <w:footnote w:id="1">
    <w:p w:rsidR="0077685E" w:rsidRDefault="0077685E">
      <w:pPr>
        <w:pStyle w:val="FootnoteText"/>
      </w:pPr>
      <w:r>
        <w:rPr>
          <w:rStyle w:val="FootnoteReference"/>
        </w:rPr>
        <w:footnoteRef/>
      </w:r>
      <w:r>
        <w:t xml:space="preserve"> </w:t>
      </w:r>
      <w:r w:rsidRPr="00741402">
        <w:rPr>
          <w:rFonts w:ascii="Times New Roman" w:hAnsi="Times New Roman"/>
          <w:u w:val="single"/>
        </w:rPr>
        <w:t>Screening Instrument</w:t>
      </w:r>
      <w:r w:rsidRPr="00741402">
        <w:rPr>
          <w:rFonts w:ascii="Times New Roman" w:hAnsi="Times New Roman"/>
        </w:rPr>
        <w:t xml:space="preserve"> - For initial identification of possible disorder;</w:t>
      </w:r>
    </w:p>
  </w:footnote>
  <w:footnote w:id="2">
    <w:p w:rsidR="0077685E" w:rsidRDefault="0077685E">
      <w:pPr>
        <w:pStyle w:val="FootnoteText"/>
      </w:pPr>
      <w:r>
        <w:rPr>
          <w:rStyle w:val="FootnoteReference"/>
        </w:rPr>
        <w:footnoteRef/>
      </w:r>
      <w:r>
        <w:t xml:space="preserve"> </w:t>
      </w:r>
      <w:r w:rsidRPr="00741402">
        <w:rPr>
          <w:rFonts w:ascii="Times New Roman" w:hAnsi="Times New Roman"/>
          <w:u w:val="single"/>
        </w:rPr>
        <w:t>Rating Scale</w:t>
      </w:r>
      <w:r w:rsidRPr="00741402">
        <w:rPr>
          <w:rFonts w:ascii="Times New Roman" w:hAnsi="Times New Roman"/>
        </w:rPr>
        <w:t xml:space="preserve"> - For measurement of disorder severity and change over time;</w:t>
      </w:r>
    </w:p>
  </w:footnote>
  <w:footnote w:id="3">
    <w:p w:rsidR="0077685E" w:rsidRDefault="0077685E">
      <w:pPr>
        <w:pStyle w:val="FootnoteText"/>
      </w:pPr>
      <w:r>
        <w:rPr>
          <w:rStyle w:val="FootnoteReference"/>
        </w:rPr>
        <w:footnoteRef/>
      </w:r>
      <w:r>
        <w:t xml:space="preserve"> </w:t>
      </w:r>
      <w:r w:rsidRPr="00741402">
        <w:rPr>
          <w:rFonts w:ascii="Times New Roman" w:hAnsi="Times New Roman"/>
          <w:u w:val="single"/>
        </w:rPr>
        <w:t>Diagnostic Criteria and Instrument</w:t>
      </w:r>
      <w:r w:rsidRPr="00741402">
        <w:rPr>
          <w:rFonts w:ascii="Times New Roman" w:hAnsi="Times New Roman"/>
        </w:rPr>
        <w:t xml:space="preserve"> – Categorization of patients into those with and without a disorder;</w:t>
      </w:r>
    </w:p>
  </w:footnote>
  <w:footnote w:id="4">
    <w:p w:rsidR="00786E45" w:rsidRDefault="00786E45">
      <w:pPr>
        <w:pStyle w:val="FootnoteText"/>
      </w:pPr>
      <w:r>
        <w:rPr>
          <w:rStyle w:val="FootnoteReference"/>
        </w:rPr>
        <w:footnoteRef/>
      </w:r>
      <w:r>
        <w:t xml:space="preserve"> </w:t>
      </w:r>
      <w:r w:rsidRPr="00741402">
        <w:rPr>
          <w:rFonts w:ascii="Times New Roman" w:hAnsi="Times New Roman"/>
          <w:u w:val="single"/>
        </w:rPr>
        <w:t>Strongly Recommended Instrument</w:t>
      </w:r>
      <w:r w:rsidRPr="00741402">
        <w:rPr>
          <w:rFonts w:ascii="Times New Roman" w:hAnsi="Times New Roman"/>
        </w:rPr>
        <w:t xml:space="preserve"> – strongly recommended for a study with a focus on this psychiatric disorder to allow comparison with previous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7F" w:rsidRPr="00681DF5" w:rsidRDefault="00B26E7F" w:rsidP="00681DF5">
    <w:pPr>
      <w:pStyle w:val="Heading1"/>
      <w:rPr>
        <w:sz w:val="24"/>
        <w:szCs w:val="24"/>
      </w:rPr>
    </w:pPr>
    <w:r>
      <w:t>Parkinson’s Disease CDE Subgroup</w:t>
    </w:r>
    <w:r w:rsidRPr="00681DF5">
      <w:t>: Psychiatry-Summary Statement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62" w:rsidRPr="00681DF5" w:rsidRDefault="00D14162" w:rsidP="00D14162">
    <w:pPr>
      <w:pStyle w:val="Heading1"/>
      <w:rPr>
        <w:sz w:val="24"/>
        <w:szCs w:val="24"/>
      </w:rPr>
    </w:pPr>
    <w:r>
      <w:t>Parkinson’s Disease CDE Subgroup</w:t>
    </w:r>
    <w:r w:rsidRPr="00681DF5">
      <w:t>: Psychiatry-Summary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45EF"/>
    <w:multiLevelType w:val="hybridMultilevel"/>
    <w:tmpl w:val="E1D8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D773E"/>
    <w:multiLevelType w:val="hybridMultilevel"/>
    <w:tmpl w:val="CB4EE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B36D1"/>
    <w:multiLevelType w:val="hybridMultilevel"/>
    <w:tmpl w:val="C55E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D239F"/>
    <w:multiLevelType w:val="hybridMultilevel"/>
    <w:tmpl w:val="CA9E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246D3"/>
    <w:multiLevelType w:val="hybridMultilevel"/>
    <w:tmpl w:val="10C8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41327"/>
    <w:multiLevelType w:val="hybridMultilevel"/>
    <w:tmpl w:val="C1DA7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D010A"/>
    <w:multiLevelType w:val="hybridMultilevel"/>
    <w:tmpl w:val="79CE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72FE9"/>
    <w:multiLevelType w:val="hybridMultilevel"/>
    <w:tmpl w:val="9416A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44831"/>
    <w:multiLevelType w:val="hybridMultilevel"/>
    <w:tmpl w:val="83D2A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913B6"/>
    <w:multiLevelType w:val="hybridMultilevel"/>
    <w:tmpl w:val="8D545376"/>
    <w:lvl w:ilvl="0" w:tplc="2E5C0D80">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E11ED"/>
    <w:multiLevelType w:val="hybridMultilevel"/>
    <w:tmpl w:val="E9C60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65110D"/>
    <w:multiLevelType w:val="hybridMultilevel"/>
    <w:tmpl w:val="86029E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A77309"/>
    <w:multiLevelType w:val="hybridMultilevel"/>
    <w:tmpl w:val="A1A6F536"/>
    <w:lvl w:ilvl="0" w:tplc="DFEAA8F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6165BD"/>
    <w:multiLevelType w:val="hybridMultilevel"/>
    <w:tmpl w:val="16AAF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B13B1"/>
    <w:multiLevelType w:val="hybridMultilevel"/>
    <w:tmpl w:val="63181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C661F"/>
    <w:multiLevelType w:val="hybridMultilevel"/>
    <w:tmpl w:val="47B4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1"/>
  </w:num>
  <w:num w:numId="5">
    <w:abstractNumId w:val="13"/>
  </w:num>
  <w:num w:numId="6">
    <w:abstractNumId w:val="8"/>
  </w:num>
  <w:num w:numId="7">
    <w:abstractNumId w:val="12"/>
  </w:num>
  <w:num w:numId="8">
    <w:abstractNumId w:val="9"/>
  </w:num>
  <w:num w:numId="9">
    <w:abstractNumId w:val="7"/>
  </w:num>
  <w:num w:numId="10">
    <w:abstractNumId w:val="10"/>
  </w:num>
  <w:num w:numId="11">
    <w:abstractNumId w:val="12"/>
    <w:lvlOverride w:ilvl="0">
      <w:startOverride w:val="1"/>
    </w:lvlOverride>
  </w:num>
  <w:num w:numId="12">
    <w:abstractNumId w:val="15"/>
  </w:num>
  <w:num w:numId="13">
    <w:abstractNumId w:val="3"/>
  </w:num>
  <w:num w:numId="14">
    <w:abstractNumId w:val="0"/>
  </w:num>
  <w:num w:numId="15">
    <w:abstractNumId w:val="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EFMGR.InstantFormat" w:val="&lt;ENInstantFormat&gt;&lt;Enabled&gt;1&lt;/Enabled&gt;&lt;ScanUnformatted&gt;1&lt;/ScanUnformatted&gt;&lt;ScanChanges&gt;1&lt;/ScanChanges&gt;&lt;/ENInstantFormat&gt;"/>
    <w:docVar w:name="REFMGR.Libraries" w:val="&lt;ENLibraries&gt;&lt;Libraries&gt;&lt;item&gt;parkinson&amp;apos;s disease&lt;/item&gt;&lt;/Libraries&gt;&lt;/ENLibraries&gt;"/>
  </w:docVars>
  <w:rsids>
    <w:rsidRoot w:val="009D1100"/>
    <w:rsid w:val="00000499"/>
    <w:rsid w:val="0000612F"/>
    <w:rsid w:val="000158BE"/>
    <w:rsid w:val="000444B4"/>
    <w:rsid w:val="00045823"/>
    <w:rsid w:val="00047335"/>
    <w:rsid w:val="0005556F"/>
    <w:rsid w:val="00062E75"/>
    <w:rsid w:val="00072265"/>
    <w:rsid w:val="0008240E"/>
    <w:rsid w:val="000A229B"/>
    <w:rsid w:val="000B7CE1"/>
    <w:rsid w:val="000F0A27"/>
    <w:rsid w:val="000F37B7"/>
    <w:rsid w:val="000F5787"/>
    <w:rsid w:val="000F5AF5"/>
    <w:rsid w:val="00132BDE"/>
    <w:rsid w:val="001435F1"/>
    <w:rsid w:val="00151114"/>
    <w:rsid w:val="0015717F"/>
    <w:rsid w:val="00166E19"/>
    <w:rsid w:val="00195033"/>
    <w:rsid w:val="0019525C"/>
    <w:rsid w:val="001A69D8"/>
    <w:rsid w:val="001B01BB"/>
    <w:rsid w:val="001B3F84"/>
    <w:rsid w:val="00213251"/>
    <w:rsid w:val="002141F0"/>
    <w:rsid w:val="0023039B"/>
    <w:rsid w:val="002450D7"/>
    <w:rsid w:val="0025035B"/>
    <w:rsid w:val="002541F0"/>
    <w:rsid w:val="002548C2"/>
    <w:rsid w:val="00256F49"/>
    <w:rsid w:val="00274255"/>
    <w:rsid w:val="00280064"/>
    <w:rsid w:val="00283951"/>
    <w:rsid w:val="00291752"/>
    <w:rsid w:val="002A4975"/>
    <w:rsid w:val="002C7DF1"/>
    <w:rsid w:val="002D1BC2"/>
    <w:rsid w:val="002D5CB9"/>
    <w:rsid w:val="0031755C"/>
    <w:rsid w:val="00327628"/>
    <w:rsid w:val="003360F6"/>
    <w:rsid w:val="00340941"/>
    <w:rsid w:val="00352944"/>
    <w:rsid w:val="00352FF9"/>
    <w:rsid w:val="00357A23"/>
    <w:rsid w:val="0037448A"/>
    <w:rsid w:val="00381EE3"/>
    <w:rsid w:val="00387828"/>
    <w:rsid w:val="003A1962"/>
    <w:rsid w:val="003C3080"/>
    <w:rsid w:val="003C6CDA"/>
    <w:rsid w:val="003C6F31"/>
    <w:rsid w:val="003D7094"/>
    <w:rsid w:val="003E238F"/>
    <w:rsid w:val="003E7EF9"/>
    <w:rsid w:val="0040479E"/>
    <w:rsid w:val="00407F29"/>
    <w:rsid w:val="00411664"/>
    <w:rsid w:val="00417A7C"/>
    <w:rsid w:val="0044469A"/>
    <w:rsid w:val="004508DB"/>
    <w:rsid w:val="00470A37"/>
    <w:rsid w:val="00472BBE"/>
    <w:rsid w:val="00485237"/>
    <w:rsid w:val="00487E4D"/>
    <w:rsid w:val="004A4743"/>
    <w:rsid w:val="004B477C"/>
    <w:rsid w:val="004C5065"/>
    <w:rsid w:val="004F019E"/>
    <w:rsid w:val="004F4533"/>
    <w:rsid w:val="004F4C72"/>
    <w:rsid w:val="004F4FA7"/>
    <w:rsid w:val="005060EE"/>
    <w:rsid w:val="00527870"/>
    <w:rsid w:val="00541F41"/>
    <w:rsid w:val="00543DC2"/>
    <w:rsid w:val="00551463"/>
    <w:rsid w:val="00551D29"/>
    <w:rsid w:val="00580BC0"/>
    <w:rsid w:val="00584978"/>
    <w:rsid w:val="005869A7"/>
    <w:rsid w:val="00590A9C"/>
    <w:rsid w:val="00593359"/>
    <w:rsid w:val="005B2646"/>
    <w:rsid w:val="005B7C2D"/>
    <w:rsid w:val="005E7F6F"/>
    <w:rsid w:val="005F7FDC"/>
    <w:rsid w:val="006035D4"/>
    <w:rsid w:val="00617890"/>
    <w:rsid w:val="006560E6"/>
    <w:rsid w:val="00661F2B"/>
    <w:rsid w:val="00664408"/>
    <w:rsid w:val="00681DF5"/>
    <w:rsid w:val="00684F4C"/>
    <w:rsid w:val="006A2DF0"/>
    <w:rsid w:val="006B267B"/>
    <w:rsid w:val="006D55AC"/>
    <w:rsid w:val="006E326E"/>
    <w:rsid w:val="006E4B72"/>
    <w:rsid w:val="006E50FC"/>
    <w:rsid w:val="006F3C9E"/>
    <w:rsid w:val="006F64B4"/>
    <w:rsid w:val="0070453A"/>
    <w:rsid w:val="00707DDE"/>
    <w:rsid w:val="0071208D"/>
    <w:rsid w:val="00713138"/>
    <w:rsid w:val="00714519"/>
    <w:rsid w:val="00723F46"/>
    <w:rsid w:val="00733039"/>
    <w:rsid w:val="00734FDD"/>
    <w:rsid w:val="007400E7"/>
    <w:rsid w:val="007577FD"/>
    <w:rsid w:val="007749A6"/>
    <w:rsid w:val="00774C3A"/>
    <w:rsid w:val="007758D5"/>
    <w:rsid w:val="00776638"/>
    <w:rsid w:val="0077685E"/>
    <w:rsid w:val="00786E45"/>
    <w:rsid w:val="007A30E2"/>
    <w:rsid w:val="007B7817"/>
    <w:rsid w:val="007E1B22"/>
    <w:rsid w:val="007F0216"/>
    <w:rsid w:val="007F1178"/>
    <w:rsid w:val="007F5AB8"/>
    <w:rsid w:val="00805992"/>
    <w:rsid w:val="00806CA7"/>
    <w:rsid w:val="00815DCE"/>
    <w:rsid w:val="008701AC"/>
    <w:rsid w:val="0087721D"/>
    <w:rsid w:val="008927C4"/>
    <w:rsid w:val="008B0F78"/>
    <w:rsid w:val="008C4E30"/>
    <w:rsid w:val="008D02A5"/>
    <w:rsid w:val="008E114E"/>
    <w:rsid w:val="008F53C4"/>
    <w:rsid w:val="0092217A"/>
    <w:rsid w:val="0093568B"/>
    <w:rsid w:val="00955792"/>
    <w:rsid w:val="00962A88"/>
    <w:rsid w:val="009630C5"/>
    <w:rsid w:val="009A2956"/>
    <w:rsid w:val="009C03D6"/>
    <w:rsid w:val="009D1100"/>
    <w:rsid w:val="009D3EE4"/>
    <w:rsid w:val="009F2C9B"/>
    <w:rsid w:val="00A41D86"/>
    <w:rsid w:val="00A53CF2"/>
    <w:rsid w:val="00A60E1A"/>
    <w:rsid w:val="00AE550B"/>
    <w:rsid w:val="00AE5535"/>
    <w:rsid w:val="00AE71AD"/>
    <w:rsid w:val="00AF4D84"/>
    <w:rsid w:val="00B26E7F"/>
    <w:rsid w:val="00B53018"/>
    <w:rsid w:val="00B81BF2"/>
    <w:rsid w:val="00B91181"/>
    <w:rsid w:val="00B91A20"/>
    <w:rsid w:val="00BC6A0A"/>
    <w:rsid w:val="00BC6B16"/>
    <w:rsid w:val="00BD2F90"/>
    <w:rsid w:val="00BE60C4"/>
    <w:rsid w:val="00BE61D6"/>
    <w:rsid w:val="00C2095F"/>
    <w:rsid w:val="00C30F77"/>
    <w:rsid w:val="00C4564A"/>
    <w:rsid w:val="00C46250"/>
    <w:rsid w:val="00C46F4D"/>
    <w:rsid w:val="00C630FC"/>
    <w:rsid w:val="00C63CFB"/>
    <w:rsid w:val="00C86644"/>
    <w:rsid w:val="00CA095A"/>
    <w:rsid w:val="00CE45C4"/>
    <w:rsid w:val="00CE4FF8"/>
    <w:rsid w:val="00CE65E3"/>
    <w:rsid w:val="00D14162"/>
    <w:rsid w:val="00D30F81"/>
    <w:rsid w:val="00D729DC"/>
    <w:rsid w:val="00D749EF"/>
    <w:rsid w:val="00D76C87"/>
    <w:rsid w:val="00D8183D"/>
    <w:rsid w:val="00DB39F1"/>
    <w:rsid w:val="00DB447F"/>
    <w:rsid w:val="00DB5CE3"/>
    <w:rsid w:val="00DC3CEC"/>
    <w:rsid w:val="00DC57F4"/>
    <w:rsid w:val="00DF0A04"/>
    <w:rsid w:val="00DF7168"/>
    <w:rsid w:val="00E00A76"/>
    <w:rsid w:val="00E12ACC"/>
    <w:rsid w:val="00E14CFE"/>
    <w:rsid w:val="00E3587B"/>
    <w:rsid w:val="00E5538F"/>
    <w:rsid w:val="00E642E4"/>
    <w:rsid w:val="00E7634D"/>
    <w:rsid w:val="00E851B6"/>
    <w:rsid w:val="00EC00D6"/>
    <w:rsid w:val="00EC67F0"/>
    <w:rsid w:val="00EC7E0A"/>
    <w:rsid w:val="00ED2A5C"/>
    <w:rsid w:val="00EE4EBB"/>
    <w:rsid w:val="00F03EF7"/>
    <w:rsid w:val="00F12C59"/>
    <w:rsid w:val="00F3119A"/>
    <w:rsid w:val="00F442D8"/>
    <w:rsid w:val="00F667F1"/>
    <w:rsid w:val="00F714BB"/>
    <w:rsid w:val="00F826BE"/>
    <w:rsid w:val="00FA65C0"/>
    <w:rsid w:val="00FC2B30"/>
    <w:rsid w:val="00FC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35F0626-36B1-4CB8-8571-41C2B10E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8F"/>
    <w:pPr>
      <w:spacing w:after="200" w:line="276" w:lineRule="auto"/>
    </w:pPr>
    <w:rPr>
      <w:sz w:val="22"/>
      <w:szCs w:val="22"/>
    </w:rPr>
  </w:style>
  <w:style w:type="paragraph" w:styleId="Heading1">
    <w:name w:val="heading 1"/>
    <w:basedOn w:val="Normal"/>
    <w:next w:val="Normal"/>
    <w:link w:val="Heading1Char"/>
    <w:uiPriority w:val="9"/>
    <w:qFormat/>
    <w:rsid w:val="00681DF5"/>
    <w:pPr>
      <w:keepNext/>
      <w:spacing w:before="240" w:after="60"/>
      <w:jc w:val="center"/>
      <w:outlineLvl w:val="0"/>
    </w:pPr>
    <w:rPr>
      <w:rFonts w:ascii="Arial" w:eastAsia="Times New Roman" w:hAnsi="Arial"/>
      <w:b/>
      <w:bCs/>
      <w:kern w:val="32"/>
      <w:sz w:val="28"/>
      <w:szCs w:val="32"/>
    </w:rPr>
  </w:style>
  <w:style w:type="paragraph" w:styleId="Heading2">
    <w:name w:val="heading 2"/>
    <w:basedOn w:val="Normal"/>
    <w:next w:val="Normal"/>
    <w:link w:val="Heading2Char"/>
    <w:uiPriority w:val="9"/>
    <w:unhideWhenUsed/>
    <w:qFormat/>
    <w:rsid w:val="00681DF5"/>
    <w:pPr>
      <w:numPr>
        <w:numId w:val="8"/>
      </w:numPr>
      <w:spacing w:after="0" w:line="240" w:lineRule="auto"/>
      <w:ind w:left="270" w:hanging="27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1208D"/>
    <w:pPr>
      <w:numPr>
        <w:numId w:val="7"/>
      </w:numPr>
      <w:tabs>
        <w:tab w:val="left" w:pos="0"/>
      </w:tabs>
      <w:spacing w:before="120" w:after="60" w:line="240" w:lineRule="auto"/>
      <w:ind w:left="360"/>
      <w:outlineLvl w:val="2"/>
    </w:pPr>
    <w:rPr>
      <w:rFonts w:ascii="Arial" w:hAnsi="Arial" w:cs="Arial"/>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7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57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7FD"/>
  </w:style>
  <w:style w:type="paragraph" w:styleId="Footer">
    <w:name w:val="footer"/>
    <w:basedOn w:val="Normal"/>
    <w:link w:val="FooterChar"/>
    <w:uiPriority w:val="99"/>
    <w:unhideWhenUsed/>
    <w:rsid w:val="00757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7FD"/>
  </w:style>
  <w:style w:type="character" w:styleId="Strong">
    <w:name w:val="Strong"/>
    <w:qFormat/>
    <w:rsid w:val="00713138"/>
    <w:rPr>
      <w:b/>
      <w:bCs/>
    </w:rPr>
  </w:style>
  <w:style w:type="paragraph" w:customStyle="1" w:styleId="Title1">
    <w:name w:val="Title1"/>
    <w:basedOn w:val="Normal"/>
    <w:rsid w:val="0048523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485237"/>
    <w:rPr>
      <w:color w:val="0000FF"/>
      <w:u w:val="single"/>
    </w:rPr>
  </w:style>
  <w:style w:type="paragraph" w:customStyle="1" w:styleId="rprtbody">
    <w:name w:val="rprtbody"/>
    <w:basedOn w:val="Normal"/>
    <w:rsid w:val="00485237"/>
    <w:pPr>
      <w:spacing w:before="100" w:beforeAutospacing="1" w:after="100" w:afterAutospacing="1" w:line="240" w:lineRule="auto"/>
    </w:pPr>
    <w:rPr>
      <w:rFonts w:ascii="Times New Roman" w:eastAsia="Times New Roman" w:hAnsi="Times New Roman"/>
      <w:sz w:val="24"/>
      <w:szCs w:val="24"/>
    </w:rPr>
  </w:style>
  <w:style w:type="paragraph" w:customStyle="1" w:styleId="aux">
    <w:name w:val="aux"/>
    <w:basedOn w:val="Normal"/>
    <w:rsid w:val="00485237"/>
    <w:pPr>
      <w:spacing w:before="100" w:beforeAutospacing="1" w:after="100" w:afterAutospacing="1" w:line="240" w:lineRule="auto"/>
    </w:pPr>
    <w:rPr>
      <w:rFonts w:ascii="Times New Roman" w:eastAsia="Times New Roman" w:hAnsi="Times New Roman"/>
      <w:sz w:val="24"/>
      <w:szCs w:val="24"/>
    </w:rPr>
  </w:style>
  <w:style w:type="character" w:customStyle="1" w:styleId="src">
    <w:name w:val="src"/>
    <w:basedOn w:val="DefaultParagraphFont"/>
    <w:rsid w:val="00485237"/>
  </w:style>
  <w:style w:type="character" w:customStyle="1" w:styleId="jrnl">
    <w:name w:val="jrnl"/>
    <w:basedOn w:val="DefaultParagraphFont"/>
    <w:rsid w:val="00485237"/>
  </w:style>
  <w:style w:type="paragraph" w:styleId="Caption">
    <w:name w:val="caption"/>
    <w:basedOn w:val="Normal"/>
    <w:next w:val="Normal"/>
    <w:uiPriority w:val="35"/>
    <w:unhideWhenUsed/>
    <w:qFormat/>
    <w:rsid w:val="00E14CFE"/>
    <w:rPr>
      <w:b/>
      <w:bCs/>
      <w:sz w:val="20"/>
      <w:szCs w:val="20"/>
    </w:rPr>
  </w:style>
  <w:style w:type="character" w:customStyle="1" w:styleId="Heading2Char">
    <w:name w:val="Heading 2 Char"/>
    <w:link w:val="Heading2"/>
    <w:uiPriority w:val="9"/>
    <w:rsid w:val="00681DF5"/>
    <w:rPr>
      <w:rFonts w:ascii="Arial" w:hAnsi="Arial" w:cs="Arial"/>
      <w:b/>
      <w:sz w:val="24"/>
      <w:szCs w:val="24"/>
    </w:rPr>
  </w:style>
  <w:style w:type="character" w:customStyle="1" w:styleId="Heading1Char">
    <w:name w:val="Heading 1 Char"/>
    <w:link w:val="Heading1"/>
    <w:uiPriority w:val="9"/>
    <w:rsid w:val="00681DF5"/>
    <w:rPr>
      <w:rFonts w:ascii="Arial" w:eastAsia="Times New Roman" w:hAnsi="Arial" w:cs="Times New Roman"/>
      <w:b/>
      <w:bCs/>
      <w:kern w:val="32"/>
      <w:sz w:val="28"/>
      <w:szCs w:val="32"/>
    </w:rPr>
  </w:style>
  <w:style w:type="character" w:customStyle="1" w:styleId="Heading3Char">
    <w:name w:val="Heading 3 Char"/>
    <w:link w:val="Heading3"/>
    <w:uiPriority w:val="9"/>
    <w:rsid w:val="0071208D"/>
    <w:rPr>
      <w:rFonts w:ascii="Arial" w:hAnsi="Arial" w:cs="Arial"/>
      <w:sz w:val="22"/>
      <w:szCs w:val="22"/>
      <w:u w:val="single"/>
    </w:rPr>
  </w:style>
  <w:style w:type="character" w:styleId="FollowedHyperlink">
    <w:name w:val="FollowedHyperlink"/>
    <w:uiPriority w:val="99"/>
    <w:semiHidden/>
    <w:unhideWhenUsed/>
    <w:rsid w:val="0077685E"/>
    <w:rPr>
      <w:color w:val="954F72"/>
      <w:u w:val="single"/>
    </w:rPr>
  </w:style>
  <w:style w:type="paragraph" w:styleId="FootnoteText">
    <w:name w:val="footnote text"/>
    <w:basedOn w:val="Normal"/>
    <w:link w:val="FootnoteTextChar"/>
    <w:uiPriority w:val="99"/>
    <w:semiHidden/>
    <w:unhideWhenUsed/>
    <w:rsid w:val="0077685E"/>
    <w:rPr>
      <w:sz w:val="20"/>
      <w:szCs w:val="20"/>
    </w:rPr>
  </w:style>
  <w:style w:type="character" w:customStyle="1" w:styleId="FootnoteTextChar">
    <w:name w:val="Footnote Text Char"/>
    <w:basedOn w:val="DefaultParagraphFont"/>
    <w:link w:val="FootnoteText"/>
    <w:uiPriority w:val="99"/>
    <w:semiHidden/>
    <w:rsid w:val="0077685E"/>
  </w:style>
  <w:style w:type="character" w:styleId="FootnoteReference">
    <w:name w:val="footnote reference"/>
    <w:uiPriority w:val="99"/>
    <w:unhideWhenUsed/>
    <w:rsid w:val="0077685E"/>
    <w:rPr>
      <w:vertAlign w:val="superscript"/>
    </w:rPr>
  </w:style>
  <w:style w:type="paragraph" w:styleId="EndnoteText">
    <w:name w:val="endnote text"/>
    <w:basedOn w:val="Normal"/>
    <w:link w:val="EndnoteTextChar"/>
    <w:uiPriority w:val="99"/>
    <w:semiHidden/>
    <w:unhideWhenUsed/>
    <w:rsid w:val="00786E45"/>
    <w:rPr>
      <w:sz w:val="20"/>
      <w:szCs w:val="20"/>
    </w:rPr>
  </w:style>
  <w:style w:type="character" w:customStyle="1" w:styleId="EndnoteTextChar">
    <w:name w:val="Endnote Text Char"/>
    <w:basedOn w:val="DefaultParagraphFont"/>
    <w:link w:val="EndnoteText"/>
    <w:uiPriority w:val="99"/>
    <w:semiHidden/>
    <w:rsid w:val="00786E45"/>
  </w:style>
  <w:style w:type="character" w:styleId="EndnoteReference">
    <w:name w:val="endnote reference"/>
    <w:uiPriority w:val="99"/>
    <w:unhideWhenUsed/>
    <w:rsid w:val="00786E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02511">
      <w:bodyDiv w:val="1"/>
      <w:marLeft w:val="0"/>
      <w:marRight w:val="0"/>
      <w:marTop w:val="0"/>
      <w:marBottom w:val="0"/>
      <w:divBdr>
        <w:top w:val="none" w:sz="0" w:space="0" w:color="auto"/>
        <w:left w:val="none" w:sz="0" w:space="0" w:color="auto"/>
        <w:bottom w:val="none" w:sz="0" w:space="0" w:color="auto"/>
        <w:right w:val="none" w:sz="0" w:space="0" w:color="auto"/>
      </w:divBdr>
    </w:div>
    <w:div w:id="1092092878">
      <w:bodyDiv w:val="1"/>
      <w:marLeft w:val="0"/>
      <w:marRight w:val="0"/>
      <w:marTop w:val="0"/>
      <w:marBottom w:val="0"/>
      <w:divBdr>
        <w:top w:val="none" w:sz="0" w:space="0" w:color="auto"/>
        <w:left w:val="none" w:sz="0" w:space="0" w:color="auto"/>
        <w:bottom w:val="none" w:sz="0" w:space="0" w:color="auto"/>
        <w:right w:val="none" w:sz="0" w:space="0" w:color="auto"/>
      </w:divBdr>
    </w:div>
    <w:div w:id="1167331619">
      <w:bodyDiv w:val="1"/>
      <w:marLeft w:val="0"/>
      <w:marRight w:val="0"/>
      <w:marTop w:val="0"/>
      <w:marBottom w:val="0"/>
      <w:divBdr>
        <w:top w:val="none" w:sz="0" w:space="0" w:color="auto"/>
        <w:left w:val="none" w:sz="0" w:space="0" w:color="auto"/>
        <w:bottom w:val="none" w:sz="0" w:space="0" w:color="auto"/>
        <w:right w:val="none" w:sz="0" w:space="0" w:color="auto"/>
      </w:divBdr>
    </w:div>
    <w:div w:id="12589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Drugs/GuidanceComplianceRegulatoryInformation/Guidances/UCM22513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A53F-7C56-493A-B319-A02A7142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Instrument Name:</vt:lpstr>
    </vt:vector>
  </TitlesOfParts>
  <Company>KAI Research, Inc.</Company>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Disease CDE Subgroup: Psychiatry-Summary Statement</dc:title>
  <dc:subject>Guideline Document</dc:subject>
  <dc:creator>NINDS</dc:creator>
  <cp:keywords>NINDS, Guideline Document, Parkinson's Disease CDE Subgroup: Psychiatry-Summary Statement </cp:keywords>
  <cp:lastModifiedBy>Andy Franklin</cp:lastModifiedBy>
  <cp:revision>4</cp:revision>
  <dcterms:created xsi:type="dcterms:W3CDTF">2014-05-19T14:19:00Z</dcterms:created>
  <dcterms:modified xsi:type="dcterms:W3CDTF">2014-09-11T13:51:00Z</dcterms:modified>
  <cp:category>Guideline Document</cp:category>
  <cp:contentStatus>508 Compliant</cp:contentStatus>
</cp:coreProperties>
</file>