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D8" w:rsidRPr="00B85DD8" w:rsidRDefault="00B85DD8" w:rsidP="009B3440">
      <w:pPr>
        <w:pStyle w:val="NoSpacing"/>
        <w:jc w:val="center"/>
        <w:rPr>
          <w:b/>
          <w:sz w:val="24"/>
          <w:szCs w:val="24"/>
        </w:rPr>
      </w:pPr>
      <w:r w:rsidRPr="00B85DD8">
        <w:rPr>
          <w:b/>
          <w:sz w:val="24"/>
          <w:szCs w:val="24"/>
        </w:rPr>
        <w:t>NINDS CDE Project</w:t>
      </w:r>
    </w:p>
    <w:p w:rsidR="00B85DD8" w:rsidRDefault="00B85DD8" w:rsidP="00AC4440">
      <w:pPr>
        <w:pStyle w:val="NoSpacing"/>
      </w:pPr>
    </w:p>
    <w:p w:rsidR="00AC4440" w:rsidRPr="00E12777" w:rsidRDefault="00AC4440" w:rsidP="00AC4440">
      <w:pPr>
        <w:pStyle w:val="NoSpacing"/>
      </w:pPr>
      <w:r w:rsidRPr="00D51CBF">
        <w:rPr>
          <w:b/>
        </w:rPr>
        <w:t>Working group:</w:t>
      </w:r>
      <w:r w:rsidR="00E12777">
        <w:rPr>
          <w:b/>
        </w:rPr>
        <w:t xml:space="preserve"> </w:t>
      </w:r>
      <w:r w:rsidR="00D06C5A">
        <w:rPr>
          <w:b/>
        </w:rPr>
        <w:t>Neuromotor Skills and Functional Assessments</w:t>
      </w:r>
    </w:p>
    <w:p w:rsidR="00763846" w:rsidRDefault="00AC4440" w:rsidP="00763846">
      <w:pPr>
        <w:pStyle w:val="NoSpacing"/>
        <w:rPr>
          <w:b/>
        </w:rPr>
      </w:pPr>
      <w:r w:rsidRPr="00D51CBF">
        <w:rPr>
          <w:b/>
        </w:rPr>
        <w:t>Completed by:</w:t>
      </w:r>
      <w:r w:rsidR="00E12777">
        <w:rPr>
          <w:b/>
        </w:rPr>
        <w:t xml:space="preserve"> </w:t>
      </w:r>
      <w:proofErr w:type="spellStart"/>
      <w:r w:rsidR="00763846">
        <w:rPr>
          <w:b/>
        </w:rPr>
        <w:t>Joline</w:t>
      </w:r>
      <w:proofErr w:type="spellEnd"/>
      <w:r w:rsidR="00763846">
        <w:rPr>
          <w:b/>
        </w:rPr>
        <w:t xml:space="preserve"> Brandenburg, Claire </w:t>
      </w:r>
      <w:proofErr w:type="spellStart"/>
      <w:r w:rsidR="00763846">
        <w:rPr>
          <w:b/>
        </w:rPr>
        <w:t>Morress</w:t>
      </w:r>
      <w:proofErr w:type="spellEnd"/>
      <w:r w:rsidR="00763846">
        <w:rPr>
          <w:b/>
        </w:rPr>
        <w:t xml:space="preserve">, Christopher Joseph, </w:t>
      </w:r>
      <w:r w:rsidR="00643EE0">
        <w:rPr>
          <w:b/>
        </w:rPr>
        <w:t xml:space="preserve">and </w:t>
      </w:r>
      <w:r w:rsidR="00763846">
        <w:rPr>
          <w:b/>
        </w:rPr>
        <w:t xml:space="preserve">Mary-Jo Cooley Hidecker </w:t>
      </w:r>
    </w:p>
    <w:p w:rsidR="00B374E9" w:rsidRDefault="00B374E9" w:rsidP="00AC4440">
      <w:pPr>
        <w:pStyle w:val="NoSpacing"/>
        <w:rPr>
          <w:b/>
        </w:rPr>
      </w:pPr>
    </w:p>
    <w:p w:rsidR="00AC4440" w:rsidRDefault="00AC4440" w:rsidP="00AC4440">
      <w:pPr>
        <w:pStyle w:val="NoSpacing"/>
        <w:rPr>
          <w:b/>
        </w:rPr>
      </w:pPr>
      <w:r w:rsidRPr="00D51CBF">
        <w:rPr>
          <w:b/>
        </w:rPr>
        <w:t>Date:</w:t>
      </w:r>
      <w:r w:rsidR="00E12777">
        <w:rPr>
          <w:b/>
        </w:rPr>
        <w:t xml:space="preserve"> </w:t>
      </w:r>
      <w:r w:rsidR="00D06C5A">
        <w:rPr>
          <w:b/>
        </w:rPr>
        <w:t>8/10/2016</w:t>
      </w:r>
    </w:p>
    <w:p w:rsidR="00AC4440" w:rsidRDefault="00AC4440" w:rsidP="00AC4440">
      <w:pPr>
        <w:pStyle w:val="NoSpacing"/>
      </w:pPr>
    </w:p>
    <w:p w:rsidR="00915539" w:rsidRPr="006D1DFA" w:rsidRDefault="00AC4440" w:rsidP="00915539">
      <w:pPr>
        <w:pStyle w:val="NoSpacing"/>
        <w:numPr>
          <w:ilvl w:val="0"/>
          <w:numId w:val="4"/>
        </w:numPr>
        <w:rPr>
          <w:b/>
        </w:rPr>
      </w:pPr>
      <w:r w:rsidRPr="006D1DFA">
        <w:rPr>
          <w:b/>
        </w:rPr>
        <w:t>Approach for selection of elements</w:t>
      </w:r>
      <w:r w:rsidR="00643EE0">
        <w:rPr>
          <w:b/>
        </w:rPr>
        <w:t>:</w:t>
      </w:r>
      <w:r w:rsidR="00D06C5A">
        <w:t xml:space="preserve"> </w:t>
      </w:r>
      <w:r w:rsidR="001F6910">
        <w:t>W</w:t>
      </w:r>
      <w:r w:rsidR="00D06C5A">
        <w:t xml:space="preserve">e reviewed </w:t>
      </w:r>
      <w:r w:rsidR="00643EE0">
        <w:t>common data elements (</w:t>
      </w:r>
      <w:r w:rsidR="001F6910">
        <w:t>CDE</w:t>
      </w:r>
      <w:r w:rsidR="00643EE0">
        <w:t>)</w:t>
      </w:r>
      <w:r w:rsidR="001F6910">
        <w:t xml:space="preserve"> and instruments</w:t>
      </w:r>
      <w:r w:rsidR="00D06C5A">
        <w:t xml:space="preserve"> </w:t>
      </w:r>
      <w:r w:rsidR="00662873">
        <w:t>that were included in disease groups</w:t>
      </w:r>
      <w:r w:rsidR="00D06C5A">
        <w:t xml:space="preserve">. We </w:t>
      </w:r>
      <w:r w:rsidR="00662873">
        <w:t xml:space="preserve">then </w:t>
      </w:r>
      <w:r w:rsidR="00D06C5A">
        <w:t xml:space="preserve">narrowed this to CDEs/instruments that we felt were applicable to </w:t>
      </w:r>
      <w:r w:rsidR="00643EE0">
        <w:t>Cerebral Palsy (</w:t>
      </w:r>
      <w:r w:rsidR="00D06C5A">
        <w:t>CP</w:t>
      </w:r>
      <w:r w:rsidR="00643EE0">
        <w:t>)</w:t>
      </w:r>
      <w:r w:rsidR="00D06C5A">
        <w:t>. If an individual wasn’t sure about an element or instrument, this was discussed among the group</w:t>
      </w:r>
      <w:r w:rsidR="00662873">
        <w:t xml:space="preserve"> with decision made by consensus</w:t>
      </w:r>
      <w:r w:rsidR="00D06C5A">
        <w:t>. In addition, discussion among the group was held to identify areas or gaps in currently published</w:t>
      </w:r>
      <w:r w:rsidR="00662873">
        <w:t xml:space="preserve"> CDE</w:t>
      </w:r>
      <w:r w:rsidR="00643EE0">
        <w:t>s</w:t>
      </w:r>
      <w:r w:rsidR="00662873">
        <w:t>.</w:t>
      </w:r>
      <w:r w:rsidR="005C4012">
        <w:t xml:space="preserve"> </w:t>
      </w:r>
      <w:r w:rsidR="00662873">
        <w:t>With regard to instruments, we searched systematic and narrative</w:t>
      </w:r>
      <w:r w:rsidR="005C4012">
        <w:t xml:space="preserve"> reviews </w:t>
      </w:r>
      <w:r w:rsidR="00662873">
        <w:t>to identify</w:t>
      </w:r>
      <w:r w:rsidR="005C4012">
        <w:t xml:space="preserve"> instruments that were deemed most reliable</w:t>
      </w:r>
      <w:r w:rsidR="00643EE0">
        <w:t xml:space="preserve"> and </w:t>
      </w:r>
      <w:r w:rsidR="005C4012">
        <w:t>psychometrically sound.</w:t>
      </w:r>
      <w:r w:rsidR="00D06C5A">
        <w:t xml:space="preserve"> </w:t>
      </w:r>
      <w:r w:rsidR="00662873">
        <w:t>When these reviews were not available (i.e.</w:t>
      </w:r>
      <w:r w:rsidR="00643EE0">
        <w:t>,</w:t>
      </w:r>
      <w:r w:rsidR="00662873">
        <w:t xml:space="preserve"> a newer instrument or an area that had few instruments), the literature was searched to identify the psychometric properties and intended instrument use/properties</w:t>
      </w:r>
      <w:r w:rsidR="00643EE0">
        <w:t xml:space="preserve"> that t</w:t>
      </w:r>
      <w:r w:rsidR="00662873">
        <w:t xml:space="preserve">he instrument measured. </w:t>
      </w:r>
      <w:r w:rsidR="001F6910">
        <w:t>Instruments wer</w:t>
      </w:r>
      <w:r w:rsidR="00662873">
        <w:t>e selected</w:t>
      </w:r>
      <w:r w:rsidR="001F6910">
        <w:t xml:space="preserve"> based on psychometric soundness, use in CP, or instruments that were felt by the group to fill gaps in outcome measures/functional assessments, or </w:t>
      </w:r>
      <w:r w:rsidR="00662873">
        <w:t>were promising</w:t>
      </w:r>
      <w:r w:rsidR="001F6910">
        <w:t xml:space="preserve">. </w:t>
      </w:r>
      <w:r w:rsidR="00662873">
        <w:t xml:space="preserve">With respect to CDE, when we could not identify </w:t>
      </w:r>
      <w:r w:rsidR="00643EE0">
        <w:t xml:space="preserve">a </w:t>
      </w:r>
      <w:r w:rsidR="00662873">
        <w:t xml:space="preserve">CDE that captured the information we </w:t>
      </w:r>
      <w:r w:rsidR="00AB7045">
        <w:t>felt</w:t>
      </w:r>
      <w:r w:rsidR="00662873">
        <w:t xml:space="preserve"> was important, </w:t>
      </w:r>
      <w:r w:rsidR="001F6910">
        <w:t xml:space="preserve">we </w:t>
      </w:r>
      <w:r w:rsidR="00992F4A">
        <w:t>created new elements</w:t>
      </w:r>
      <w:r w:rsidR="006D1DFA">
        <w:t xml:space="preserve">. </w:t>
      </w:r>
    </w:p>
    <w:p w:rsidR="006D1DFA" w:rsidRPr="006D1DFA" w:rsidRDefault="006D1DFA" w:rsidP="006D1DFA">
      <w:pPr>
        <w:pStyle w:val="NoSpacing"/>
        <w:ind w:left="720"/>
        <w:rPr>
          <w:b/>
        </w:rPr>
      </w:pPr>
    </w:p>
    <w:p w:rsidR="00915539" w:rsidRDefault="00915539" w:rsidP="00915539">
      <w:pPr>
        <w:pStyle w:val="NoSpacing"/>
        <w:ind w:left="720"/>
      </w:pPr>
      <w:r>
        <w:t>Individuals and groups of 2</w:t>
      </w:r>
      <w:r w:rsidR="00643EE0">
        <w:t>–</w:t>
      </w:r>
      <w:r>
        <w:t>3 individuals with similar expertise were then assigned to create case report forms. The CRFs were created from the CDE</w:t>
      </w:r>
      <w:r w:rsidR="00643EE0">
        <w:t>s</w:t>
      </w:r>
      <w:r w:rsidRPr="00915539">
        <w:t xml:space="preserve"> </w:t>
      </w:r>
      <w:r>
        <w:t>compiled. When possible</w:t>
      </w:r>
      <w:r w:rsidR="008F427C">
        <w:t>, previously generated CRF</w:t>
      </w:r>
      <w:r w:rsidR="001F6057">
        <w:t>s were used with</w:t>
      </w:r>
      <w:r>
        <w:t xml:space="preserve"> alterations </w:t>
      </w:r>
      <w:r w:rsidR="001F6057">
        <w:t>for language specific to CP</w:t>
      </w:r>
      <w:r w:rsidR="00662873">
        <w:t>. C</w:t>
      </w:r>
      <w:r>
        <w:t xml:space="preserve">reation of new </w:t>
      </w:r>
      <w:r w:rsidR="00662873">
        <w:t>CRF</w:t>
      </w:r>
      <w:r>
        <w:t xml:space="preserve">s </w:t>
      </w:r>
      <w:r w:rsidR="001F6057">
        <w:t xml:space="preserve">were done </w:t>
      </w:r>
      <w:r>
        <w:t xml:space="preserve">when needed. Discussion was held </w:t>
      </w:r>
      <w:r w:rsidR="00662873">
        <w:t>among</w:t>
      </w:r>
      <w:r>
        <w:t xml:space="preserve"> the group </w:t>
      </w:r>
      <w:r w:rsidR="001F6057">
        <w:t xml:space="preserve">regarding </w:t>
      </w:r>
      <w:r w:rsidR="00643EE0">
        <w:t xml:space="preserve">the </w:t>
      </w:r>
      <w:r w:rsidR="001F6057">
        <w:t xml:space="preserve">CRFs </w:t>
      </w:r>
      <w:r w:rsidR="00643EE0">
        <w:t xml:space="preserve">and the </w:t>
      </w:r>
      <w:r w:rsidR="001F6057">
        <w:t>CDE</w:t>
      </w:r>
      <w:r w:rsidR="00643EE0">
        <w:t>s</w:t>
      </w:r>
      <w:r w:rsidR="001F6057">
        <w:t xml:space="preserve"> contained in the CRF</w:t>
      </w:r>
      <w:r w:rsidR="00643EE0">
        <w:t>.</w:t>
      </w:r>
      <w:r w:rsidR="001F6057">
        <w:t xml:space="preserve"> </w:t>
      </w:r>
      <w:r w:rsidR="00662873">
        <w:t xml:space="preserve">CRFs were </w:t>
      </w:r>
      <w:r w:rsidR="001F6057">
        <w:t xml:space="preserve">reviewed </w:t>
      </w:r>
      <w:r>
        <w:t>among the gr</w:t>
      </w:r>
      <w:r w:rsidR="00643EE0">
        <w:t>oup when questions would arise.</w:t>
      </w:r>
      <w:r>
        <w:t xml:space="preserve"> Consensus </w:t>
      </w:r>
      <w:r w:rsidR="001F6057">
        <w:t>was</w:t>
      </w:r>
      <w:r>
        <w:t xml:space="preserve"> reached through discussion and review. </w:t>
      </w:r>
    </w:p>
    <w:p w:rsidR="009A61AC" w:rsidRDefault="009A61AC" w:rsidP="00915539">
      <w:pPr>
        <w:pStyle w:val="NoSpacing"/>
        <w:ind w:left="720"/>
      </w:pPr>
    </w:p>
    <w:p w:rsidR="009A61AC" w:rsidRDefault="009A61AC" w:rsidP="00915539">
      <w:pPr>
        <w:pStyle w:val="NoSpacing"/>
        <w:ind w:left="720"/>
      </w:pPr>
      <w:r>
        <w:t xml:space="preserve">In addition, experts outside of our group were consulted with regard to recommendations and evidence regarding measures for the evaluation </w:t>
      </w:r>
      <w:r w:rsidR="00DD4584">
        <w:t xml:space="preserve">for infants and toddlers at risk of CP and </w:t>
      </w:r>
      <w:r>
        <w:t>diagnosis of</w:t>
      </w:r>
      <w:r w:rsidR="00DD4584">
        <w:t xml:space="preserve"> CP.</w:t>
      </w:r>
      <w:r>
        <w:t xml:space="preserve"> </w:t>
      </w:r>
      <w:r w:rsidR="00DD4584">
        <w:t xml:space="preserve">We would like to thank the following individuals for their assistance: </w:t>
      </w:r>
      <w:r w:rsidR="00DD4584" w:rsidRPr="00DD4584">
        <w:t xml:space="preserve">Morgan C, Novak I, </w:t>
      </w:r>
      <w:proofErr w:type="spellStart"/>
      <w:r w:rsidR="00DD4584" w:rsidRPr="00DD4584">
        <w:t>Adde</w:t>
      </w:r>
      <w:proofErr w:type="spellEnd"/>
      <w:r w:rsidR="00DD4584" w:rsidRPr="00DD4584">
        <w:t xml:space="preserve"> L, </w:t>
      </w:r>
      <w:proofErr w:type="spellStart"/>
      <w:r w:rsidR="00DD4584" w:rsidRPr="00DD4584">
        <w:t>Brunstrom</w:t>
      </w:r>
      <w:proofErr w:type="spellEnd"/>
      <w:r w:rsidR="00DD4584" w:rsidRPr="00DD4584">
        <w:t xml:space="preserve">-Hernandez J, Blackman J, Boyd RN, </w:t>
      </w:r>
      <w:proofErr w:type="spellStart"/>
      <w:r w:rsidR="00DD4584" w:rsidRPr="00DD4584">
        <w:t>Cioni</w:t>
      </w:r>
      <w:proofErr w:type="spellEnd"/>
      <w:r w:rsidR="00DD4584" w:rsidRPr="00DD4584">
        <w:t xml:space="preserve"> G, </w:t>
      </w:r>
      <w:proofErr w:type="spellStart"/>
      <w:r w:rsidR="00DD4584" w:rsidRPr="00DD4584">
        <w:t>Damiano</w:t>
      </w:r>
      <w:proofErr w:type="spellEnd"/>
      <w:r w:rsidR="00DD4584" w:rsidRPr="00DD4584">
        <w:t xml:space="preserve"> D, </w:t>
      </w:r>
      <w:proofErr w:type="spellStart"/>
      <w:r w:rsidR="00DD4584" w:rsidRPr="00DD4584">
        <w:t>Darrah</w:t>
      </w:r>
      <w:proofErr w:type="spellEnd"/>
      <w:r w:rsidR="00DD4584" w:rsidRPr="00DD4584">
        <w:t xml:space="preserve"> J, </w:t>
      </w:r>
      <w:proofErr w:type="spellStart"/>
      <w:r w:rsidR="00DD4584" w:rsidRPr="00DD4584">
        <w:t>deVries</w:t>
      </w:r>
      <w:proofErr w:type="spellEnd"/>
      <w:r w:rsidR="00DD4584" w:rsidRPr="00DD4584">
        <w:t xml:space="preserve"> L, </w:t>
      </w:r>
      <w:proofErr w:type="spellStart"/>
      <w:r w:rsidR="00DD4584" w:rsidRPr="00DD4584">
        <w:t>Eliasson</w:t>
      </w:r>
      <w:proofErr w:type="spellEnd"/>
      <w:r w:rsidR="00DD4584" w:rsidRPr="00DD4584">
        <w:t xml:space="preserve"> AC, </w:t>
      </w:r>
      <w:proofErr w:type="spellStart"/>
      <w:r w:rsidR="00DD4584" w:rsidRPr="00DD4584">
        <w:t>Einspieler</w:t>
      </w:r>
      <w:proofErr w:type="spellEnd"/>
      <w:r w:rsidR="00DD4584" w:rsidRPr="00DD4584">
        <w:t xml:space="preserve"> C, Fahey M, </w:t>
      </w:r>
      <w:proofErr w:type="spellStart"/>
      <w:r w:rsidR="00DD4584" w:rsidRPr="00DD4584">
        <w:t>Fehlings</w:t>
      </w:r>
      <w:proofErr w:type="spellEnd"/>
      <w:r w:rsidR="00DD4584" w:rsidRPr="00DD4584">
        <w:t xml:space="preserve"> D, </w:t>
      </w:r>
      <w:proofErr w:type="spellStart"/>
      <w:r w:rsidR="00DD4584" w:rsidRPr="00DD4584">
        <w:t>Ferriero</w:t>
      </w:r>
      <w:proofErr w:type="spellEnd"/>
      <w:r w:rsidR="00DD4584" w:rsidRPr="00DD4584">
        <w:t xml:space="preserve"> DM, Fetters L, </w:t>
      </w:r>
      <w:proofErr w:type="spellStart"/>
      <w:r w:rsidR="00DD4584" w:rsidRPr="00DD4584">
        <w:t>Fiori</w:t>
      </w:r>
      <w:proofErr w:type="spellEnd"/>
      <w:r w:rsidR="00DD4584" w:rsidRPr="00DD4584">
        <w:t xml:space="preserve"> S, </w:t>
      </w:r>
      <w:proofErr w:type="spellStart"/>
      <w:r w:rsidR="00DD4584" w:rsidRPr="00DD4584">
        <w:t>Forssberg</w:t>
      </w:r>
      <w:proofErr w:type="spellEnd"/>
      <w:r w:rsidR="00DD4584" w:rsidRPr="00DD4584">
        <w:t xml:space="preserve"> H, Gordon AM, Greaves S, </w:t>
      </w:r>
      <w:proofErr w:type="spellStart"/>
      <w:r w:rsidR="00DD4584" w:rsidRPr="00DD4584">
        <w:t>Guzzetta</w:t>
      </w:r>
      <w:proofErr w:type="spellEnd"/>
      <w:r w:rsidR="00DD4584" w:rsidRPr="00DD4584">
        <w:t xml:space="preserve"> A, </w:t>
      </w:r>
      <w:proofErr w:type="spellStart"/>
      <w:r w:rsidR="00DD4584" w:rsidRPr="00DD4584">
        <w:t>Harbourne</w:t>
      </w:r>
      <w:proofErr w:type="spellEnd"/>
      <w:r w:rsidR="00DD4584" w:rsidRPr="00DD4584">
        <w:t xml:space="preserve"> R, </w:t>
      </w:r>
      <w:proofErr w:type="spellStart"/>
      <w:r w:rsidR="00DD4584" w:rsidRPr="00DD4584">
        <w:t>Hadders-Algra</w:t>
      </w:r>
      <w:proofErr w:type="spellEnd"/>
      <w:r w:rsidR="00DD4584" w:rsidRPr="00DD4584">
        <w:t xml:space="preserve"> M, </w:t>
      </w:r>
      <w:proofErr w:type="spellStart"/>
      <w:r w:rsidR="00DD4584" w:rsidRPr="00DD4584">
        <w:t>Kakooza</w:t>
      </w:r>
      <w:proofErr w:type="spellEnd"/>
      <w:r w:rsidR="00DD4584" w:rsidRPr="00DD4584">
        <w:t xml:space="preserve"> A, </w:t>
      </w:r>
      <w:proofErr w:type="spellStart"/>
      <w:r w:rsidR="00DD4584" w:rsidRPr="00DD4584">
        <w:t>Karlsson</w:t>
      </w:r>
      <w:proofErr w:type="spellEnd"/>
      <w:r w:rsidR="00DD4584" w:rsidRPr="00DD4584">
        <w:t xml:space="preserve"> P, </w:t>
      </w:r>
      <w:proofErr w:type="spellStart"/>
      <w:r w:rsidR="00DD4584" w:rsidRPr="00DD4584">
        <w:t>Krumlinde-Sundholm</w:t>
      </w:r>
      <w:proofErr w:type="spellEnd"/>
      <w:r w:rsidR="00DD4584" w:rsidRPr="00DD4584">
        <w:t xml:space="preserve"> L, </w:t>
      </w:r>
      <w:proofErr w:type="spellStart"/>
      <w:r w:rsidR="00DD4584" w:rsidRPr="00DD4584">
        <w:t>Latal</w:t>
      </w:r>
      <w:proofErr w:type="spellEnd"/>
      <w:r w:rsidR="00DD4584" w:rsidRPr="00DD4584">
        <w:t xml:space="preserve"> B, </w:t>
      </w:r>
      <w:proofErr w:type="spellStart"/>
      <w:r w:rsidR="00DD4584" w:rsidRPr="00DD4584">
        <w:t>Loughran-Fowlds</w:t>
      </w:r>
      <w:proofErr w:type="spellEnd"/>
      <w:r w:rsidR="00DD4584" w:rsidRPr="00DD4584">
        <w:t xml:space="preserve"> A, Maitre NL, McIntyre S, Noritz G, Pennington L, Romeo D, Shepherd RB, Spittle AJ, Thornton M, Valentine J, Walker K, White R &amp; </w:t>
      </w:r>
      <w:proofErr w:type="spellStart"/>
      <w:r w:rsidR="00DD4584" w:rsidRPr="00DD4584">
        <w:t>Badawi</w:t>
      </w:r>
      <w:proofErr w:type="spellEnd"/>
      <w:r w:rsidR="00DD4584" w:rsidRPr="00DD4584">
        <w:t xml:space="preserve"> N.</w:t>
      </w:r>
    </w:p>
    <w:p w:rsidR="006D1DFA" w:rsidRDefault="006D1DFA" w:rsidP="00915539">
      <w:pPr>
        <w:pStyle w:val="NoSpacing"/>
        <w:ind w:left="720"/>
      </w:pPr>
    </w:p>
    <w:p w:rsidR="006D1DFA" w:rsidRDefault="006D1DFA" w:rsidP="006D1DFA">
      <w:pPr>
        <w:pStyle w:val="NoSpacing"/>
        <w:ind w:left="720"/>
      </w:pPr>
      <w:r>
        <w:t>A particularly critical focus was made to identify and collate O</w:t>
      </w:r>
      <w:r w:rsidR="00643EE0">
        <w:t>ccupational Therapy (O</w:t>
      </w:r>
      <w:r>
        <w:t>T</w:t>
      </w:r>
      <w:r w:rsidR="00643EE0">
        <w:t>), Physical Therapy (</w:t>
      </w:r>
      <w:r>
        <w:t>PT</w:t>
      </w:r>
      <w:r w:rsidR="00643EE0">
        <w:t>), and Speech and Language Pathology (</w:t>
      </w:r>
      <w:r>
        <w:t>SLP</w:t>
      </w:r>
      <w:r w:rsidR="00643EE0">
        <w:t>)</w:t>
      </w:r>
      <w:r>
        <w:t xml:space="preserve"> CDE</w:t>
      </w:r>
      <w:r w:rsidR="00643EE0">
        <w:t>s</w:t>
      </w:r>
      <w:r>
        <w:t xml:space="preserve"> and instruments. Specifically, OT</w:t>
      </w:r>
      <w:r w:rsidR="00643EE0">
        <w:t xml:space="preserve">, </w:t>
      </w:r>
      <w:r>
        <w:t>PT</w:t>
      </w:r>
      <w:r w:rsidR="00643EE0">
        <w:t xml:space="preserve">, and </w:t>
      </w:r>
      <w:r>
        <w:t>SLP CDE</w:t>
      </w:r>
      <w:r w:rsidR="00643EE0">
        <w:t>s</w:t>
      </w:r>
      <w:r>
        <w:t xml:space="preserve"> were selected based on gaps and needs in rehabilitation research (specifically the need to determine the association between frequency, intensity, timing and type of rehabilitation intervention and outcomes)</w:t>
      </w:r>
      <w:r w:rsidR="00643EE0">
        <w:t>,</w:t>
      </w:r>
      <w:r>
        <w:t xml:space="preserve"> published literature, and clinical expertise. The </w:t>
      </w:r>
      <w:r w:rsidR="00643EE0">
        <w:t>CDE</w:t>
      </w:r>
      <w:r>
        <w:t>s and created CRFs were based on three key articles reviewed by three or more therapists in each discipline, and modified to reflect CP practice:</w:t>
      </w:r>
    </w:p>
    <w:p w:rsidR="00643EE0" w:rsidRDefault="00643EE0" w:rsidP="00643EE0">
      <w:pPr>
        <w:pStyle w:val="NoSpacing"/>
        <w:ind w:left="1440"/>
      </w:pPr>
      <w:r>
        <w:lastRenderedPageBreak/>
        <w:t xml:space="preserve">Effgen SK, McCoy SW, </w:t>
      </w:r>
      <w:proofErr w:type="spellStart"/>
      <w:r>
        <w:t>Chiarello</w:t>
      </w:r>
      <w:proofErr w:type="spellEnd"/>
      <w:r>
        <w:t xml:space="preserve"> LA, Jeffries LM, Bush H. Physical Therapy-Related Child Outcomes in School: An Example of Practice-Based Evidence Methodology. </w:t>
      </w:r>
      <w:proofErr w:type="spellStart"/>
      <w:r>
        <w:t>Pediatr</w:t>
      </w:r>
      <w:proofErr w:type="spellEnd"/>
      <w:r>
        <w:t xml:space="preserve"> </w:t>
      </w:r>
      <w:proofErr w:type="spellStart"/>
      <w:r>
        <w:t>Phys</w:t>
      </w:r>
      <w:proofErr w:type="spellEnd"/>
      <w:r>
        <w:t xml:space="preserve"> </w:t>
      </w:r>
      <w:proofErr w:type="spellStart"/>
      <w:r>
        <w:t>Ther</w:t>
      </w:r>
      <w:proofErr w:type="spellEnd"/>
      <w:r>
        <w:t>. 2016</w:t>
      </w:r>
      <w:proofErr w:type="gramStart"/>
      <w:r>
        <w:t>;28</w:t>
      </w:r>
      <w:proofErr w:type="gramEnd"/>
      <w:r>
        <w:t xml:space="preserve">(1):47–56. </w:t>
      </w:r>
    </w:p>
    <w:p w:rsidR="00643EE0" w:rsidRDefault="00643EE0" w:rsidP="00643EE0">
      <w:pPr>
        <w:pStyle w:val="NoSpacing"/>
        <w:ind w:left="720" w:firstLine="720"/>
      </w:pPr>
    </w:p>
    <w:p w:rsidR="00643EE0" w:rsidRDefault="00643EE0" w:rsidP="00643EE0">
      <w:pPr>
        <w:pStyle w:val="NoSpacing"/>
        <w:ind w:left="1440"/>
      </w:pPr>
      <w:r>
        <w:t xml:space="preserve">Horn SD, Corrigan JD, </w:t>
      </w:r>
      <w:proofErr w:type="spellStart"/>
      <w:r>
        <w:t>Bogner</w:t>
      </w:r>
      <w:proofErr w:type="spellEnd"/>
      <w:r>
        <w:t xml:space="preserve"> J, Hammond FM, </w:t>
      </w:r>
      <w:proofErr w:type="spellStart"/>
      <w:r>
        <w:t>Seel</w:t>
      </w:r>
      <w:proofErr w:type="spellEnd"/>
      <w:r>
        <w:t xml:space="preserve"> RT, </w:t>
      </w:r>
      <w:proofErr w:type="spellStart"/>
      <w:r>
        <w:t>Smout</w:t>
      </w:r>
      <w:proofErr w:type="spellEnd"/>
      <w:r>
        <w:t xml:space="preserve"> RJ, Barrett RS, </w:t>
      </w:r>
      <w:proofErr w:type="spellStart"/>
      <w:r>
        <w:t>Dijkers</w:t>
      </w:r>
      <w:proofErr w:type="spellEnd"/>
      <w:r>
        <w:t xml:space="preserve"> MP, </w:t>
      </w:r>
      <w:proofErr w:type="spellStart"/>
      <w:r>
        <w:t>Whiteneck</w:t>
      </w:r>
      <w:proofErr w:type="spellEnd"/>
      <w:r>
        <w:t xml:space="preserve"> GG. Traumatic Brain Injury-Practice Based Evidence Study: Design and Patients, Centers, Treatments, and Outcomes. Arch </w:t>
      </w:r>
      <w:proofErr w:type="spellStart"/>
      <w:r>
        <w:t>Phys</w:t>
      </w:r>
      <w:proofErr w:type="spellEnd"/>
      <w:r>
        <w:t xml:space="preserve"> Med </w:t>
      </w:r>
      <w:proofErr w:type="spellStart"/>
      <w:r>
        <w:t>Rehabil</w:t>
      </w:r>
      <w:proofErr w:type="spellEnd"/>
      <w:r>
        <w:t>. 2015</w:t>
      </w:r>
      <w:proofErr w:type="gramStart"/>
      <w:r>
        <w:t>;96</w:t>
      </w:r>
      <w:proofErr w:type="gramEnd"/>
      <w:r>
        <w:t xml:space="preserve">(8 </w:t>
      </w:r>
      <w:proofErr w:type="spellStart"/>
      <w:r>
        <w:t>Suppl</w:t>
      </w:r>
      <w:proofErr w:type="spellEnd"/>
      <w:r>
        <w:t xml:space="preserve">):S178–S196.e15. </w:t>
      </w:r>
    </w:p>
    <w:p w:rsidR="00643EE0" w:rsidRDefault="00643EE0" w:rsidP="00643EE0">
      <w:pPr>
        <w:pStyle w:val="NoSpacing"/>
        <w:ind w:left="720" w:firstLine="720"/>
      </w:pPr>
    </w:p>
    <w:p w:rsidR="00DA4DA4" w:rsidRPr="00915539" w:rsidRDefault="00643EE0" w:rsidP="00671FCA">
      <w:pPr>
        <w:pStyle w:val="NoSpacing"/>
        <w:ind w:left="1440"/>
      </w:pPr>
      <w:r>
        <w:t xml:space="preserve">Latham NK, </w:t>
      </w:r>
      <w:proofErr w:type="spellStart"/>
      <w:r>
        <w:t>Jette</w:t>
      </w:r>
      <w:proofErr w:type="spellEnd"/>
      <w:r>
        <w:t xml:space="preserve"> DU, </w:t>
      </w:r>
      <w:proofErr w:type="spellStart"/>
      <w:r>
        <w:t>Coster</w:t>
      </w:r>
      <w:proofErr w:type="spellEnd"/>
      <w:r>
        <w:t xml:space="preserve"> W, Richards L, </w:t>
      </w:r>
      <w:proofErr w:type="spellStart"/>
      <w:r>
        <w:t>Smout</w:t>
      </w:r>
      <w:proofErr w:type="spellEnd"/>
      <w:r>
        <w:t xml:space="preserve"> RJ, James RA, Gassaway J, Horn SD. Occupational therapy activities and intervention techniques for clients with stroke in six rehabilitation hospitals. Am J </w:t>
      </w:r>
      <w:proofErr w:type="spellStart"/>
      <w:r>
        <w:t>Occup</w:t>
      </w:r>
      <w:proofErr w:type="spellEnd"/>
      <w:r>
        <w:t xml:space="preserve"> </w:t>
      </w:r>
      <w:proofErr w:type="spellStart"/>
      <w:r>
        <w:t>Ther</w:t>
      </w:r>
      <w:proofErr w:type="spellEnd"/>
      <w:r>
        <w:t xml:space="preserve">. 2006;60(4):369-78. </w:t>
      </w:r>
    </w:p>
    <w:p w:rsidR="004C4B23" w:rsidRPr="00643EE0" w:rsidRDefault="004C4B23" w:rsidP="00643EE0">
      <w:pPr>
        <w:pStyle w:val="NoSpacing"/>
      </w:pPr>
    </w:p>
    <w:p w:rsidR="004C4B23" w:rsidRPr="004C4B23" w:rsidRDefault="00AC4440" w:rsidP="004C4B23">
      <w:pPr>
        <w:pStyle w:val="NoSpacing"/>
        <w:numPr>
          <w:ilvl w:val="0"/>
          <w:numId w:val="4"/>
        </w:numPr>
        <w:rPr>
          <w:b/>
        </w:rPr>
      </w:pPr>
      <w:r w:rsidRPr="004C4B23">
        <w:rPr>
          <w:b/>
        </w:rPr>
        <w:t>Differ</w:t>
      </w:r>
      <w:r w:rsidR="00DE2C40">
        <w:rPr>
          <w:b/>
        </w:rPr>
        <w:t xml:space="preserve">ential application to types of </w:t>
      </w:r>
      <w:r w:rsidR="00165043">
        <w:rPr>
          <w:b/>
        </w:rPr>
        <w:t>cerebral palsy</w:t>
      </w:r>
      <w:r w:rsidRPr="004C4B23">
        <w:rPr>
          <w:b/>
        </w:rPr>
        <w:t xml:space="preserve"> </w:t>
      </w:r>
      <w:r w:rsidR="008D0B8B">
        <w:t xml:space="preserve">There are instruments/elements which are specific for spastic and dystonic CP, such as the </w:t>
      </w:r>
      <w:r w:rsidR="00643EE0">
        <w:t>M</w:t>
      </w:r>
      <w:r w:rsidR="008D0B8B">
        <w:t>odified Ashworth Scale for spasticity and the Barry Albright Dystonia scale for dystonic CP</w:t>
      </w:r>
      <w:r w:rsidR="00767639">
        <w:t xml:space="preserve"> or for specific GMFCS levels.</w:t>
      </w:r>
      <w:r w:rsidR="008D0B8B">
        <w:t xml:space="preserve"> </w:t>
      </w:r>
      <w:r w:rsidR="003B0B78">
        <w:t>If an instrument is specific for a type of CP</w:t>
      </w:r>
      <w:r w:rsidR="00767639">
        <w:t xml:space="preserve"> or GMFCS level</w:t>
      </w:r>
      <w:r w:rsidR="003B0B78">
        <w:t>, this information is included in the Notice of Copyright Form</w:t>
      </w:r>
      <w:r w:rsidR="008D0B8B">
        <w:t>.</w:t>
      </w:r>
    </w:p>
    <w:p w:rsidR="004C4B23" w:rsidRPr="00643EE0" w:rsidRDefault="004C4B23" w:rsidP="004C4B23">
      <w:pPr>
        <w:pStyle w:val="NoSpacing"/>
      </w:pPr>
    </w:p>
    <w:p w:rsidR="008D0B8B" w:rsidRPr="00573DC7" w:rsidRDefault="00AC4440" w:rsidP="004C4B23">
      <w:pPr>
        <w:pStyle w:val="NoSpacing"/>
        <w:numPr>
          <w:ilvl w:val="0"/>
          <w:numId w:val="4"/>
        </w:numPr>
      </w:pPr>
      <w:r w:rsidRPr="004C4B23">
        <w:rPr>
          <w:b/>
        </w:rPr>
        <w:t>Summary recommendations</w:t>
      </w:r>
      <w:r w:rsidR="009E2C39">
        <w:rPr>
          <w:b/>
        </w:rPr>
        <w:t xml:space="preserve"> </w:t>
      </w:r>
      <w:r w:rsidR="008D0B8B">
        <w:t>We review</w:t>
      </w:r>
      <w:r w:rsidR="00733B85">
        <w:t>ed</w:t>
      </w:r>
      <w:r w:rsidR="008D0B8B">
        <w:t xml:space="preserve"> instruments and CDE</w:t>
      </w:r>
      <w:r w:rsidR="00643EE0">
        <w:t>s</w:t>
      </w:r>
      <w:r w:rsidR="008D0B8B">
        <w:t xml:space="preserve"> </w:t>
      </w:r>
      <w:r w:rsidR="00733B85">
        <w:t>applicable and inclusive of age (infant through 18 years)</w:t>
      </w:r>
      <w:r w:rsidR="008D0B8B">
        <w:t xml:space="preserve"> and type of CP.</w:t>
      </w:r>
      <w:r w:rsidR="008D0B8B" w:rsidRPr="00643EE0">
        <w:t xml:space="preserve"> </w:t>
      </w:r>
      <w:r w:rsidR="008D0B8B" w:rsidRPr="00573DC7">
        <w:t>We also aimed to in</w:t>
      </w:r>
      <w:r w:rsidR="00733B85">
        <w:t>cluded CDE</w:t>
      </w:r>
      <w:r w:rsidR="00643EE0">
        <w:t>s</w:t>
      </w:r>
      <w:r w:rsidR="00733B85">
        <w:t xml:space="preserve"> and instruments for </w:t>
      </w:r>
      <w:r w:rsidR="003B0B78">
        <w:t xml:space="preserve">the </w:t>
      </w:r>
      <w:r w:rsidR="00733B85">
        <w:t xml:space="preserve">diverse </w:t>
      </w:r>
      <w:proofErr w:type="spellStart"/>
      <w:r w:rsidR="00733B85">
        <w:t>neuromotor</w:t>
      </w:r>
      <w:proofErr w:type="spellEnd"/>
      <w:r w:rsidR="00733B85">
        <w:t xml:space="preserve"> skills areas of </w:t>
      </w:r>
      <w:r w:rsidR="008D0B8B" w:rsidRPr="00573DC7">
        <w:t>gross motor</w:t>
      </w:r>
      <w:r w:rsidR="00733B85">
        <w:t>,</w:t>
      </w:r>
      <w:r w:rsidR="008D0B8B" w:rsidRPr="00573DC7">
        <w:t xml:space="preserve"> </w:t>
      </w:r>
      <w:r w:rsidR="00733B85">
        <w:t xml:space="preserve">speech and </w:t>
      </w:r>
      <w:r w:rsidR="008D0B8B" w:rsidRPr="00573DC7">
        <w:t>language</w:t>
      </w:r>
      <w:r w:rsidR="00733B85">
        <w:t xml:space="preserve">, and fine motor which </w:t>
      </w:r>
      <w:r w:rsidR="008D0B8B" w:rsidRPr="00573DC7">
        <w:t>could be used for children ac</w:t>
      </w:r>
      <w:r w:rsidR="00733B85">
        <w:t>ross the developmental spectrum, functional abilities</w:t>
      </w:r>
      <w:r w:rsidR="008D0B8B" w:rsidRPr="00573DC7">
        <w:t xml:space="preserve"> </w:t>
      </w:r>
      <w:r w:rsidR="00733B85">
        <w:t>and among the CP types</w:t>
      </w:r>
      <w:r w:rsidR="00573DC7" w:rsidRPr="00573DC7">
        <w:t xml:space="preserve">. </w:t>
      </w:r>
      <w:r w:rsidR="00733B85">
        <w:t xml:space="preserve">Our focus was on diversity of instruments which have been shown to be psychometrically sound. </w:t>
      </w:r>
      <w:r w:rsidR="00573DC7">
        <w:t>We strongly felt that GMFCS should be considered a core element. Few</w:t>
      </w:r>
      <w:r w:rsidR="00733B85">
        <w:t xml:space="preserve"> instruments and CDE</w:t>
      </w:r>
      <w:r w:rsidR="00643EE0">
        <w:t>s</w:t>
      </w:r>
      <w:r w:rsidR="00573DC7">
        <w:t xml:space="preserve"> were </w:t>
      </w:r>
      <w:r w:rsidR="00733B85">
        <w:t xml:space="preserve">categorized as </w:t>
      </w:r>
      <w:r w:rsidR="00C825AC">
        <w:t>exploratory.</w:t>
      </w:r>
      <w:r w:rsidR="00733B85">
        <w:t xml:space="preserve"> Instruments and CDE</w:t>
      </w:r>
      <w:r w:rsidR="00643EE0">
        <w:t>s</w:t>
      </w:r>
      <w:r w:rsidR="00573DC7">
        <w:t xml:space="preserve"> given this designation were </w:t>
      </w:r>
      <w:r w:rsidR="00071CD0">
        <w:t>either not validated in CP but filled</w:t>
      </w:r>
      <w:r w:rsidR="00573DC7">
        <w:t xml:space="preserve"> a critical gap, or were new instruments with promise to fill a gap</w:t>
      </w:r>
      <w:r w:rsidR="00071CD0">
        <w:t xml:space="preserve">, or </w:t>
      </w:r>
      <w:r w:rsidR="008F427C">
        <w:t xml:space="preserve">the instrument </w:t>
      </w:r>
      <w:r w:rsidR="0088033D">
        <w:t>need</w:t>
      </w:r>
      <w:r w:rsidR="003C10A5">
        <w:t>s</w:t>
      </w:r>
      <w:r w:rsidR="00C26956">
        <w:t xml:space="preserve"> </w:t>
      </w:r>
      <w:r w:rsidR="00071CD0">
        <w:t>more psychometric property validation.</w:t>
      </w:r>
    </w:p>
    <w:p w:rsidR="0073609C" w:rsidRPr="00643EE0" w:rsidRDefault="0073609C" w:rsidP="0073609C">
      <w:pPr>
        <w:pStyle w:val="NoSpacing"/>
        <w:ind w:left="720"/>
      </w:pPr>
    </w:p>
    <w:p w:rsidR="00B85DD8" w:rsidRPr="00643EE0" w:rsidRDefault="00AC4440" w:rsidP="00C825AC">
      <w:pPr>
        <w:pStyle w:val="NoSpacing"/>
        <w:numPr>
          <w:ilvl w:val="0"/>
          <w:numId w:val="4"/>
        </w:numPr>
      </w:pPr>
      <w:r w:rsidRPr="004C4B23">
        <w:rPr>
          <w:b/>
        </w:rPr>
        <w:t xml:space="preserve">Comparison to other </w:t>
      </w:r>
      <w:r w:rsidR="00165043">
        <w:rPr>
          <w:b/>
        </w:rPr>
        <w:t>cerebral palsy</w:t>
      </w:r>
      <w:r w:rsidRPr="004C4B23">
        <w:rPr>
          <w:b/>
        </w:rPr>
        <w:t xml:space="preserve"> standards</w:t>
      </w:r>
      <w:r w:rsidR="00573DC7">
        <w:t xml:space="preserve"> Our CDE</w:t>
      </w:r>
      <w:r w:rsidR="00643EE0">
        <w:t>s</w:t>
      </w:r>
      <w:r w:rsidR="00573DC7">
        <w:t xml:space="preserve"> </w:t>
      </w:r>
      <w:r w:rsidR="000E1DCE">
        <w:t>are</w:t>
      </w:r>
      <w:r w:rsidR="00573DC7">
        <w:t xml:space="preserve"> comparable to CDE</w:t>
      </w:r>
      <w:r w:rsidR="00643EE0">
        <w:t>s</w:t>
      </w:r>
      <w:r w:rsidR="00573DC7">
        <w:t xml:space="preserve"> for other medical conditions. We used current</w:t>
      </w:r>
      <w:r w:rsidR="00DD3C28">
        <w:t>ly</w:t>
      </w:r>
      <w:r w:rsidR="00573DC7">
        <w:t xml:space="preserve"> accepted terminology when drafting these based on published consensus statements of experts. Instruments were also sought from systematic reviews and narrative reviews in the CP literature, when those existed.</w:t>
      </w:r>
      <w:r w:rsidR="00C825AC" w:rsidRPr="00C825AC">
        <w:t xml:space="preserve"> OT</w:t>
      </w:r>
      <w:r w:rsidR="00643EE0">
        <w:t xml:space="preserve">, </w:t>
      </w:r>
      <w:r w:rsidR="00C825AC" w:rsidRPr="00C825AC">
        <w:t>PT</w:t>
      </w:r>
      <w:r w:rsidR="00643EE0">
        <w:t xml:space="preserve">, and </w:t>
      </w:r>
      <w:r w:rsidR="00C825AC" w:rsidRPr="00C825AC">
        <w:t xml:space="preserve">SLP recommendations are based on published data elements (modified to reflect </w:t>
      </w:r>
      <w:bookmarkStart w:id="0" w:name="_GoBack"/>
      <w:bookmarkEnd w:id="0"/>
      <w:r w:rsidR="00C825AC" w:rsidRPr="00C825AC">
        <w:t>CP practice), and are aligned with discipline specific standards of practice and current research.</w:t>
      </w:r>
      <w:r w:rsidR="00573DC7">
        <w:t xml:space="preserve"> </w:t>
      </w:r>
    </w:p>
    <w:p w:rsidR="00AC4440" w:rsidRPr="00643EE0" w:rsidRDefault="00AC4440" w:rsidP="004C4B23">
      <w:pPr>
        <w:pStyle w:val="NoSpacing"/>
      </w:pPr>
    </w:p>
    <w:p w:rsidR="00B85DD8" w:rsidRPr="00643EE0" w:rsidRDefault="00AC4440" w:rsidP="004C4B23">
      <w:pPr>
        <w:pStyle w:val="NoSpacing"/>
        <w:numPr>
          <w:ilvl w:val="0"/>
          <w:numId w:val="4"/>
        </w:numPr>
      </w:pPr>
      <w:r w:rsidRPr="00AC4440">
        <w:rPr>
          <w:b/>
        </w:rPr>
        <w:t xml:space="preserve">Issues unique to </w:t>
      </w:r>
      <w:r w:rsidR="00165043">
        <w:rPr>
          <w:b/>
        </w:rPr>
        <w:t>cerebral palsy</w:t>
      </w:r>
      <w:r w:rsidR="00B31F20">
        <w:rPr>
          <w:i/>
        </w:rPr>
        <w:t xml:space="preserve"> </w:t>
      </w:r>
      <w:r w:rsidR="00B31F20">
        <w:t xml:space="preserve">Cerebral palsy is a heterogeneous disorder in etiology and phenotype. Therefore, identifying instruments that spanned </w:t>
      </w:r>
      <w:r w:rsidR="005C675F">
        <w:t>the CP</w:t>
      </w:r>
      <w:r w:rsidR="00B31F20">
        <w:t xml:space="preserve"> </w:t>
      </w:r>
      <w:r w:rsidR="002314FE">
        <w:t>type and functional ability</w:t>
      </w:r>
      <w:r w:rsidR="00B31F20">
        <w:t xml:space="preserve"> were psychometrically sound, and </w:t>
      </w:r>
      <w:r w:rsidR="005C675F">
        <w:t xml:space="preserve">specific to </w:t>
      </w:r>
      <w:r w:rsidR="002314FE">
        <w:t xml:space="preserve">individuals with </w:t>
      </w:r>
      <w:r w:rsidR="005C675F">
        <w:t>CP</w:t>
      </w:r>
      <w:r w:rsidR="00B31F20">
        <w:t xml:space="preserve"> </w:t>
      </w:r>
      <w:r w:rsidR="005C675F">
        <w:t>was</w:t>
      </w:r>
      <w:r w:rsidR="00B31F20">
        <w:t xml:space="preserve"> challenging. </w:t>
      </w:r>
      <w:r w:rsidR="005C675F">
        <w:t xml:space="preserve">As an extensive number of instruments have been used in CP, we felt it was critical to include those instruments with the best </w:t>
      </w:r>
      <w:r w:rsidR="00F0014B">
        <w:t xml:space="preserve">psychometric properties in the CP population, appearance of </w:t>
      </w:r>
      <w:r w:rsidR="005C675F">
        <w:t>ongoing use</w:t>
      </w:r>
      <w:r w:rsidR="00F0014B">
        <w:t xml:space="preserve"> (as determined by published papers), and </w:t>
      </w:r>
      <w:r w:rsidR="005C675F">
        <w:t>of unique</w:t>
      </w:r>
      <w:r w:rsidR="00F0014B">
        <w:t xml:space="preserve"> </w:t>
      </w:r>
      <w:r w:rsidR="005C675F">
        <w:t xml:space="preserve">measurement </w:t>
      </w:r>
      <w:r w:rsidR="002314FE">
        <w:t>properties</w:t>
      </w:r>
      <w:r w:rsidR="00F0014B">
        <w:t>.</w:t>
      </w:r>
      <w:r w:rsidR="005C675F">
        <w:t xml:space="preserve"> </w:t>
      </w:r>
    </w:p>
    <w:p w:rsidR="00B85DD8" w:rsidRPr="00643EE0" w:rsidRDefault="00B85DD8" w:rsidP="004C4B23">
      <w:pPr>
        <w:pStyle w:val="NoSpacing"/>
      </w:pPr>
    </w:p>
    <w:p w:rsidR="00AA2E44" w:rsidRPr="00AA2E44" w:rsidRDefault="00B85DD8" w:rsidP="00AA2E44">
      <w:pPr>
        <w:pStyle w:val="NoSpacing"/>
        <w:numPr>
          <w:ilvl w:val="0"/>
          <w:numId w:val="4"/>
        </w:numPr>
      </w:pPr>
      <w:r w:rsidRPr="00B85DD8">
        <w:rPr>
          <w:b/>
        </w:rPr>
        <w:t>Unmet needs; unanswered questions</w:t>
      </w:r>
      <w:r>
        <w:rPr>
          <w:b/>
        </w:rPr>
        <w:t xml:space="preserve"> </w:t>
      </w:r>
      <w:r w:rsidR="004422E5" w:rsidRPr="004422E5">
        <w:t xml:space="preserve">While there are well known spasticity and dystonia scales, </w:t>
      </w:r>
      <w:r w:rsidR="00AA2E44">
        <w:t xml:space="preserve">we could not find </w:t>
      </w:r>
      <w:r w:rsidR="004422E5" w:rsidRPr="004422E5">
        <w:t>i</w:t>
      </w:r>
      <w:r w:rsidR="004422E5">
        <w:t xml:space="preserve">nstruments or scales </w:t>
      </w:r>
      <w:r w:rsidR="00AA2E44">
        <w:t>to classify</w:t>
      </w:r>
      <w:r w:rsidR="004422E5">
        <w:t xml:space="preserve"> </w:t>
      </w:r>
      <w:proofErr w:type="spellStart"/>
      <w:r w:rsidR="00F0014B">
        <w:t>hypotonia</w:t>
      </w:r>
      <w:proofErr w:type="spellEnd"/>
      <w:r w:rsidR="00AA2E44">
        <w:t xml:space="preserve">. </w:t>
      </w:r>
      <w:r w:rsidR="00AA2E44" w:rsidRPr="00AA2E44">
        <w:t xml:space="preserve">Our group also felt that we need more sensitive instruments to assess upper extremity functional capacity and change in children at GMFCS levels IV and V with bilateral cerebral palsy. We need to determine which </w:t>
      </w:r>
      <w:r w:rsidR="00AA2E44" w:rsidRPr="00AA2E44">
        <w:lastRenderedPageBreak/>
        <w:t xml:space="preserve">aspects of rehabilitation intervention contribute to improved outcomes in children with CP at each GMFCS level, specifically </w:t>
      </w:r>
      <w:r w:rsidR="00AA2E44">
        <w:t xml:space="preserve">with respect to </w:t>
      </w:r>
      <w:r w:rsidR="00AA2E44" w:rsidRPr="00AA2E44">
        <w:t xml:space="preserve">dosage (frequency, intensity, timing and duration) and type of intervention or service. </w:t>
      </w:r>
      <w:r w:rsidR="00AA2E44">
        <w:t xml:space="preserve">Lastly, </w:t>
      </w:r>
      <w:r w:rsidR="00AA2E44" w:rsidRPr="00AA2E44">
        <w:t>we need to determine the impact that participation, as to how much the child engages during the session contributes to the outcomes of therapy and what is that optimal level. Lastly, we need to determine that measure that best reflects the function of the child when determining an intervention.</w:t>
      </w:r>
    </w:p>
    <w:p w:rsidR="00DA4DA4" w:rsidRDefault="00DA4DA4" w:rsidP="004C4B23">
      <w:pPr>
        <w:pStyle w:val="NoSpacing"/>
        <w:sectPr w:rsidR="00DA4DA4" w:rsidSect="00F13706">
          <w:headerReference w:type="default" r:id="rId7"/>
          <w:pgSz w:w="12240" w:h="15840"/>
          <w:pgMar w:top="1440" w:right="1440" w:bottom="1440" w:left="1440" w:header="720" w:footer="720" w:gutter="0"/>
          <w:cols w:space="720"/>
          <w:docGrid w:linePitch="360"/>
        </w:sectPr>
      </w:pPr>
    </w:p>
    <w:p w:rsidR="00DA4DA4" w:rsidRPr="001362E9" w:rsidRDefault="00DA4DA4" w:rsidP="008932AE">
      <w:pPr>
        <w:spacing w:after="0" w:line="240" w:lineRule="auto"/>
        <w:ind w:firstLine="540"/>
        <w:rPr>
          <w:b/>
        </w:rPr>
      </w:pPr>
      <w:proofErr w:type="spellStart"/>
      <w:r w:rsidRPr="001362E9">
        <w:rPr>
          <w:b/>
        </w:rPr>
        <w:lastRenderedPageBreak/>
        <w:t>Neuromotor</w:t>
      </w:r>
      <w:proofErr w:type="spellEnd"/>
      <w:r w:rsidRPr="001362E9">
        <w:rPr>
          <w:b/>
        </w:rPr>
        <w:t xml:space="preserve"> Skill and Functional Assessments</w:t>
      </w:r>
    </w:p>
    <w:tbl>
      <w:tblPr>
        <w:tblW w:w="13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5172"/>
        <w:gridCol w:w="5951"/>
      </w:tblGrid>
      <w:tr w:rsidR="00781863" w:rsidRPr="00A6251E" w:rsidTr="00781863">
        <w:trPr>
          <w:tblHeader/>
          <w:jc w:val="center"/>
        </w:trPr>
        <w:tc>
          <w:tcPr>
            <w:tcW w:w="2124" w:type="dxa"/>
          </w:tcPr>
          <w:p w:rsidR="00781863" w:rsidRPr="00A6251E" w:rsidRDefault="00781863" w:rsidP="0039729D">
            <w:pPr>
              <w:spacing w:after="0" w:line="240" w:lineRule="auto"/>
              <w:rPr>
                <w:sz w:val="20"/>
                <w:szCs w:val="20"/>
              </w:rPr>
            </w:pPr>
            <w:r w:rsidRPr="00A6251E">
              <w:rPr>
                <w:b/>
                <w:sz w:val="20"/>
                <w:szCs w:val="20"/>
              </w:rPr>
              <w:t>Classification</w:t>
            </w:r>
          </w:p>
        </w:tc>
        <w:tc>
          <w:tcPr>
            <w:tcW w:w="5172" w:type="dxa"/>
          </w:tcPr>
          <w:p w:rsidR="00781863" w:rsidRPr="00A6251E" w:rsidRDefault="00781863" w:rsidP="00C45CE6">
            <w:pPr>
              <w:spacing w:after="0" w:line="240" w:lineRule="auto"/>
              <w:rPr>
                <w:b/>
                <w:sz w:val="20"/>
                <w:szCs w:val="20"/>
              </w:rPr>
            </w:pPr>
            <w:r>
              <w:rPr>
                <w:b/>
                <w:sz w:val="20"/>
                <w:szCs w:val="20"/>
              </w:rPr>
              <w:t>Functional Outcomes</w:t>
            </w:r>
          </w:p>
        </w:tc>
        <w:tc>
          <w:tcPr>
            <w:tcW w:w="5951" w:type="dxa"/>
            <w:vAlign w:val="center"/>
          </w:tcPr>
          <w:p w:rsidR="00781863" w:rsidRPr="00A6251E" w:rsidRDefault="00781863" w:rsidP="00CF77E4">
            <w:pPr>
              <w:spacing w:after="0" w:line="240" w:lineRule="auto"/>
              <w:jc w:val="center"/>
              <w:rPr>
                <w:b/>
                <w:sz w:val="20"/>
                <w:szCs w:val="20"/>
              </w:rPr>
            </w:pPr>
            <w:r>
              <w:rPr>
                <w:b/>
                <w:sz w:val="20"/>
                <w:szCs w:val="20"/>
              </w:rPr>
              <w:t>Speech, Language and Communication</w:t>
            </w:r>
          </w:p>
        </w:tc>
      </w:tr>
      <w:tr w:rsidR="00781863" w:rsidRPr="00A6251E" w:rsidTr="00781863">
        <w:trPr>
          <w:jc w:val="center"/>
        </w:trPr>
        <w:tc>
          <w:tcPr>
            <w:tcW w:w="2124" w:type="dxa"/>
          </w:tcPr>
          <w:p w:rsidR="00781863" w:rsidRPr="00A6251E" w:rsidRDefault="00781863" w:rsidP="0039729D">
            <w:pPr>
              <w:spacing w:after="0" w:line="240" w:lineRule="auto"/>
              <w:rPr>
                <w:b/>
                <w:sz w:val="20"/>
                <w:szCs w:val="20"/>
              </w:rPr>
            </w:pPr>
            <w:r w:rsidRPr="00A6251E">
              <w:rPr>
                <w:b/>
                <w:sz w:val="20"/>
                <w:szCs w:val="20"/>
              </w:rPr>
              <w:t>Core</w:t>
            </w:r>
          </w:p>
        </w:tc>
        <w:tc>
          <w:tcPr>
            <w:tcW w:w="5172" w:type="dxa"/>
          </w:tcPr>
          <w:p w:rsidR="00781863" w:rsidRPr="00A6251E" w:rsidRDefault="00781863" w:rsidP="0039729D">
            <w:pPr>
              <w:spacing w:after="0" w:line="240" w:lineRule="auto"/>
              <w:rPr>
                <w:sz w:val="20"/>
                <w:szCs w:val="20"/>
              </w:rPr>
            </w:pPr>
          </w:p>
        </w:tc>
        <w:tc>
          <w:tcPr>
            <w:tcW w:w="5951" w:type="dxa"/>
          </w:tcPr>
          <w:p w:rsidR="00781863" w:rsidRPr="00A6251E" w:rsidRDefault="00781863" w:rsidP="0039729D">
            <w:pPr>
              <w:spacing w:after="0" w:line="240" w:lineRule="auto"/>
              <w:rPr>
                <w:sz w:val="20"/>
                <w:szCs w:val="20"/>
              </w:rPr>
            </w:pPr>
          </w:p>
        </w:tc>
      </w:tr>
      <w:tr w:rsidR="00781863" w:rsidRPr="00A6251E" w:rsidTr="00781863">
        <w:trPr>
          <w:jc w:val="center"/>
        </w:trPr>
        <w:tc>
          <w:tcPr>
            <w:tcW w:w="2124" w:type="dxa"/>
          </w:tcPr>
          <w:p w:rsidR="00781863" w:rsidRPr="00A6251E" w:rsidRDefault="00781863" w:rsidP="00582693">
            <w:pPr>
              <w:spacing w:after="0" w:line="240" w:lineRule="auto"/>
              <w:rPr>
                <w:sz w:val="20"/>
                <w:szCs w:val="20"/>
              </w:rPr>
            </w:pPr>
            <w:r w:rsidRPr="00A6251E">
              <w:rPr>
                <w:b/>
                <w:sz w:val="20"/>
                <w:szCs w:val="20"/>
              </w:rPr>
              <w:t>Supplemental – Highly Recommended</w:t>
            </w:r>
          </w:p>
        </w:tc>
        <w:tc>
          <w:tcPr>
            <w:tcW w:w="5172" w:type="dxa"/>
          </w:tcPr>
          <w:p w:rsidR="00781863" w:rsidRPr="006920A0" w:rsidRDefault="00781863" w:rsidP="00053C18">
            <w:pPr>
              <w:spacing w:after="0" w:line="240" w:lineRule="auto"/>
              <w:rPr>
                <w:sz w:val="20"/>
                <w:szCs w:val="20"/>
              </w:rPr>
            </w:pPr>
          </w:p>
        </w:tc>
        <w:tc>
          <w:tcPr>
            <w:tcW w:w="5951" w:type="dxa"/>
          </w:tcPr>
          <w:p w:rsidR="00781863" w:rsidRPr="006920A0" w:rsidRDefault="00781863" w:rsidP="00582693">
            <w:pPr>
              <w:numPr>
                <w:ilvl w:val="0"/>
                <w:numId w:val="5"/>
              </w:numPr>
              <w:spacing w:after="0" w:line="240" w:lineRule="auto"/>
              <w:ind w:left="185" w:hanging="180"/>
              <w:rPr>
                <w:sz w:val="20"/>
                <w:szCs w:val="20"/>
              </w:rPr>
            </w:pPr>
            <w:r w:rsidRPr="006920A0">
              <w:rPr>
                <w:sz w:val="20"/>
                <w:szCs w:val="20"/>
              </w:rPr>
              <w:t>Peabody Picture Vocabulary Test 4th Edition (PPVT™-4)</w:t>
            </w:r>
          </w:p>
        </w:tc>
      </w:tr>
      <w:tr w:rsidR="00781863" w:rsidRPr="00A6251E" w:rsidTr="00781863">
        <w:trPr>
          <w:jc w:val="center"/>
        </w:trPr>
        <w:tc>
          <w:tcPr>
            <w:tcW w:w="2124" w:type="dxa"/>
          </w:tcPr>
          <w:p w:rsidR="00781863" w:rsidRPr="00A6251E" w:rsidRDefault="00781863" w:rsidP="0039729D">
            <w:pPr>
              <w:spacing w:after="0" w:line="240" w:lineRule="auto"/>
              <w:rPr>
                <w:b/>
                <w:sz w:val="20"/>
                <w:szCs w:val="20"/>
              </w:rPr>
            </w:pPr>
            <w:r w:rsidRPr="00A6251E">
              <w:rPr>
                <w:b/>
                <w:sz w:val="20"/>
                <w:szCs w:val="20"/>
              </w:rPr>
              <w:t>Supplemental</w:t>
            </w:r>
          </w:p>
        </w:tc>
        <w:tc>
          <w:tcPr>
            <w:tcW w:w="5172" w:type="dxa"/>
          </w:tcPr>
          <w:p w:rsidR="00781863" w:rsidRPr="006920A0" w:rsidRDefault="00781863" w:rsidP="00B76233">
            <w:pPr>
              <w:numPr>
                <w:ilvl w:val="0"/>
                <w:numId w:val="6"/>
              </w:numPr>
              <w:spacing w:after="0" w:line="240" w:lineRule="auto"/>
              <w:ind w:left="218" w:hanging="140"/>
              <w:rPr>
                <w:sz w:val="20"/>
                <w:szCs w:val="20"/>
              </w:rPr>
            </w:pPr>
            <w:r w:rsidRPr="006920A0">
              <w:rPr>
                <w:sz w:val="20"/>
                <w:szCs w:val="20"/>
              </w:rPr>
              <w:t>10 Meter Timed Walk</w:t>
            </w:r>
          </w:p>
          <w:p w:rsidR="00781863" w:rsidRPr="006920A0" w:rsidRDefault="00781863" w:rsidP="00B76233">
            <w:pPr>
              <w:numPr>
                <w:ilvl w:val="0"/>
                <w:numId w:val="6"/>
              </w:numPr>
              <w:spacing w:after="0" w:line="240" w:lineRule="auto"/>
              <w:ind w:left="218" w:hanging="140"/>
              <w:rPr>
                <w:sz w:val="20"/>
                <w:szCs w:val="20"/>
              </w:rPr>
            </w:pPr>
            <w:r w:rsidRPr="006920A0">
              <w:rPr>
                <w:sz w:val="20"/>
                <w:szCs w:val="20"/>
              </w:rPr>
              <w:t>6 Minute Walk Test</w:t>
            </w:r>
          </w:p>
          <w:p w:rsidR="00781863" w:rsidRDefault="00781863" w:rsidP="00B76233">
            <w:pPr>
              <w:numPr>
                <w:ilvl w:val="0"/>
                <w:numId w:val="6"/>
              </w:numPr>
              <w:spacing w:after="0" w:line="240" w:lineRule="auto"/>
              <w:ind w:left="218" w:hanging="140"/>
              <w:rPr>
                <w:sz w:val="20"/>
                <w:szCs w:val="20"/>
              </w:rPr>
            </w:pPr>
            <w:r w:rsidRPr="006920A0">
              <w:rPr>
                <w:sz w:val="20"/>
                <w:szCs w:val="20"/>
              </w:rPr>
              <w:t>Functional Mobility Scale</w:t>
            </w:r>
          </w:p>
          <w:p w:rsidR="00781863" w:rsidRPr="006920A0" w:rsidRDefault="00781863" w:rsidP="00B76233">
            <w:pPr>
              <w:numPr>
                <w:ilvl w:val="0"/>
                <w:numId w:val="6"/>
              </w:numPr>
              <w:spacing w:after="0" w:line="240" w:lineRule="auto"/>
              <w:ind w:left="218" w:hanging="140"/>
              <w:rPr>
                <w:sz w:val="20"/>
                <w:szCs w:val="20"/>
              </w:rPr>
            </w:pPr>
            <w:r w:rsidRPr="006920A0">
              <w:rPr>
                <w:sz w:val="20"/>
                <w:szCs w:val="20"/>
              </w:rPr>
              <w:t>Functional Independence Measure for Children (</w:t>
            </w:r>
            <w:proofErr w:type="spellStart"/>
            <w:r w:rsidRPr="006920A0">
              <w:rPr>
                <w:sz w:val="20"/>
                <w:szCs w:val="20"/>
              </w:rPr>
              <w:t>WeeFIM</w:t>
            </w:r>
            <w:proofErr w:type="spellEnd"/>
            <w:r w:rsidRPr="006920A0">
              <w:rPr>
                <w:sz w:val="20"/>
                <w:szCs w:val="20"/>
              </w:rPr>
              <w:t>)</w:t>
            </w:r>
          </w:p>
          <w:p w:rsidR="00781863" w:rsidRPr="006920A0" w:rsidRDefault="00781863" w:rsidP="00B76233">
            <w:pPr>
              <w:numPr>
                <w:ilvl w:val="0"/>
                <w:numId w:val="6"/>
              </w:numPr>
              <w:spacing w:after="0" w:line="240" w:lineRule="auto"/>
              <w:ind w:left="218" w:hanging="140"/>
              <w:rPr>
                <w:sz w:val="20"/>
                <w:szCs w:val="20"/>
              </w:rPr>
            </w:pPr>
            <w:r w:rsidRPr="006920A0">
              <w:rPr>
                <w:sz w:val="20"/>
                <w:szCs w:val="20"/>
              </w:rPr>
              <w:t>Gait Deviation Index</w:t>
            </w:r>
          </w:p>
          <w:p w:rsidR="00781863" w:rsidRDefault="00781863" w:rsidP="00B76233">
            <w:pPr>
              <w:numPr>
                <w:ilvl w:val="0"/>
                <w:numId w:val="6"/>
              </w:numPr>
              <w:spacing w:after="0" w:line="240" w:lineRule="auto"/>
              <w:ind w:left="218" w:hanging="140"/>
              <w:rPr>
                <w:sz w:val="20"/>
                <w:szCs w:val="20"/>
              </w:rPr>
            </w:pPr>
            <w:r w:rsidRPr="006920A0">
              <w:rPr>
                <w:sz w:val="20"/>
                <w:szCs w:val="20"/>
              </w:rPr>
              <w:t>Instrumented Gait Analysis</w:t>
            </w:r>
          </w:p>
          <w:p w:rsidR="00781863" w:rsidRPr="006920A0" w:rsidRDefault="00781863" w:rsidP="00B76233">
            <w:pPr>
              <w:numPr>
                <w:ilvl w:val="0"/>
                <w:numId w:val="6"/>
              </w:numPr>
              <w:spacing w:after="0" w:line="240" w:lineRule="auto"/>
              <w:ind w:left="218" w:hanging="140"/>
              <w:rPr>
                <w:sz w:val="20"/>
                <w:szCs w:val="20"/>
              </w:rPr>
            </w:pPr>
            <w:r w:rsidRPr="006920A0">
              <w:rPr>
                <w:sz w:val="20"/>
                <w:szCs w:val="20"/>
              </w:rPr>
              <w:t>NIH Toolbox Walking Speed (4-Meter Walk Gait Speed Test)</w:t>
            </w:r>
          </w:p>
          <w:p w:rsidR="00781863" w:rsidRDefault="00781863" w:rsidP="00B76233">
            <w:pPr>
              <w:numPr>
                <w:ilvl w:val="0"/>
                <w:numId w:val="6"/>
              </w:numPr>
              <w:spacing w:after="0" w:line="240" w:lineRule="auto"/>
              <w:ind w:left="218" w:hanging="140"/>
              <w:rPr>
                <w:sz w:val="20"/>
                <w:szCs w:val="20"/>
              </w:rPr>
            </w:pPr>
            <w:r w:rsidRPr="006920A0">
              <w:rPr>
                <w:sz w:val="20"/>
                <w:szCs w:val="20"/>
              </w:rPr>
              <w:t>Observational Gait Scale</w:t>
            </w:r>
          </w:p>
          <w:p w:rsidR="00781863" w:rsidRPr="00053C18" w:rsidRDefault="00781863" w:rsidP="00053C18">
            <w:pPr>
              <w:numPr>
                <w:ilvl w:val="0"/>
                <w:numId w:val="6"/>
              </w:numPr>
              <w:spacing w:after="0" w:line="240" w:lineRule="auto"/>
              <w:ind w:left="218" w:hanging="140"/>
              <w:rPr>
                <w:sz w:val="20"/>
                <w:szCs w:val="20"/>
              </w:rPr>
            </w:pPr>
            <w:r w:rsidRPr="00053C18">
              <w:rPr>
                <w:sz w:val="20"/>
                <w:szCs w:val="20"/>
              </w:rPr>
              <w:t>Pediatric Evaluation of Disability Inventory (PEDI)</w:t>
            </w:r>
          </w:p>
          <w:p w:rsidR="00781863" w:rsidRPr="00053C18" w:rsidRDefault="00781863" w:rsidP="00053C18">
            <w:pPr>
              <w:numPr>
                <w:ilvl w:val="0"/>
                <w:numId w:val="6"/>
              </w:numPr>
              <w:spacing w:after="0" w:line="240" w:lineRule="auto"/>
              <w:ind w:left="218" w:hanging="140"/>
              <w:rPr>
                <w:sz w:val="20"/>
                <w:szCs w:val="20"/>
              </w:rPr>
            </w:pPr>
            <w:r w:rsidRPr="00053C18">
              <w:rPr>
                <w:sz w:val="20"/>
                <w:szCs w:val="20"/>
              </w:rPr>
              <w:t>Pediatric Outcomes Data Collection Instrument (PODCI)</w:t>
            </w:r>
          </w:p>
          <w:p w:rsidR="00781863" w:rsidRPr="006920A0" w:rsidRDefault="00781863" w:rsidP="00B76233">
            <w:pPr>
              <w:numPr>
                <w:ilvl w:val="0"/>
                <w:numId w:val="6"/>
              </w:numPr>
              <w:spacing w:after="0" w:line="240" w:lineRule="auto"/>
              <w:ind w:left="218" w:hanging="140"/>
              <w:rPr>
                <w:sz w:val="20"/>
                <w:szCs w:val="20"/>
              </w:rPr>
            </w:pPr>
            <w:r w:rsidRPr="006920A0">
              <w:rPr>
                <w:sz w:val="20"/>
                <w:szCs w:val="20"/>
              </w:rPr>
              <w:t>Stride Analysis and Gait Variability</w:t>
            </w:r>
          </w:p>
          <w:p w:rsidR="00781863" w:rsidRPr="00053C18" w:rsidRDefault="00781863" w:rsidP="00053C18">
            <w:pPr>
              <w:numPr>
                <w:ilvl w:val="0"/>
                <w:numId w:val="6"/>
              </w:numPr>
              <w:spacing w:after="0" w:line="240" w:lineRule="auto"/>
              <w:ind w:left="218" w:hanging="140"/>
              <w:rPr>
                <w:sz w:val="20"/>
                <w:szCs w:val="20"/>
              </w:rPr>
            </w:pPr>
            <w:r w:rsidRPr="006920A0">
              <w:rPr>
                <w:sz w:val="20"/>
                <w:szCs w:val="20"/>
              </w:rPr>
              <w:t>Timed Up and Go (TUG)</w:t>
            </w:r>
          </w:p>
        </w:tc>
        <w:tc>
          <w:tcPr>
            <w:tcW w:w="5951" w:type="dxa"/>
          </w:tcPr>
          <w:p w:rsidR="00781863" w:rsidRPr="006920A0" w:rsidRDefault="00781863" w:rsidP="008A21BC">
            <w:pPr>
              <w:numPr>
                <w:ilvl w:val="0"/>
                <w:numId w:val="7"/>
              </w:numPr>
              <w:spacing w:after="0" w:line="240" w:lineRule="auto"/>
              <w:ind w:left="193" w:hanging="180"/>
              <w:rPr>
                <w:sz w:val="20"/>
                <w:szCs w:val="20"/>
              </w:rPr>
            </w:pPr>
            <w:r w:rsidRPr="006920A0">
              <w:rPr>
                <w:sz w:val="20"/>
                <w:szCs w:val="20"/>
              </w:rPr>
              <w:t>Clinical Evaluation of Language Fundamentals – Fifth Edition (CELF-5)</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Clinical Evaluation of Language Fundamentals Preschool 2 (CELF Preschool 2)</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Comprehensive Test of Phonological Processing, Second Edition (CTOPP-2)</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 xml:space="preserve">Edinburgh Cognitive and </w:t>
            </w:r>
            <w:proofErr w:type="spellStart"/>
            <w:r w:rsidRPr="006920A0">
              <w:rPr>
                <w:sz w:val="20"/>
                <w:szCs w:val="20"/>
              </w:rPr>
              <w:t>Behavioural</w:t>
            </w:r>
            <w:proofErr w:type="spellEnd"/>
            <w:r w:rsidRPr="006920A0">
              <w:rPr>
                <w:sz w:val="20"/>
                <w:szCs w:val="20"/>
              </w:rPr>
              <w:t xml:space="preserve"> ALS Screen (ECAS)</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Goldman-</w:t>
            </w:r>
            <w:proofErr w:type="spellStart"/>
            <w:r w:rsidRPr="006920A0">
              <w:rPr>
                <w:sz w:val="20"/>
                <w:szCs w:val="20"/>
              </w:rPr>
              <w:t>Fristoe</w:t>
            </w:r>
            <w:proofErr w:type="spellEnd"/>
            <w:r w:rsidRPr="006920A0">
              <w:rPr>
                <w:sz w:val="20"/>
                <w:szCs w:val="20"/>
              </w:rPr>
              <w:t xml:space="preserve"> Test of Articulation 2 (GFTA-2)</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Language Sample Analysis</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 xml:space="preserve">Percentage of Consonants Correct-Revised (PCC-R) </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Preschool Language Scales – Fifth Edition (PLS-5)</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Pure Tone Threshold Audiometry</w:t>
            </w:r>
          </w:p>
          <w:p w:rsidR="00781863" w:rsidRPr="006920A0" w:rsidRDefault="00781863" w:rsidP="008A21BC">
            <w:pPr>
              <w:numPr>
                <w:ilvl w:val="0"/>
                <w:numId w:val="7"/>
              </w:numPr>
              <w:spacing w:after="0" w:line="240" w:lineRule="auto"/>
              <w:ind w:left="193" w:hanging="180"/>
              <w:rPr>
                <w:sz w:val="20"/>
                <w:szCs w:val="20"/>
              </w:rPr>
            </w:pPr>
            <w:r w:rsidRPr="006920A0">
              <w:rPr>
                <w:sz w:val="20"/>
                <w:szCs w:val="20"/>
              </w:rPr>
              <w:t>Speech Language Profile Groups (SLPG)</w:t>
            </w:r>
          </w:p>
          <w:p w:rsidR="00781863" w:rsidRPr="00C45CE6" w:rsidRDefault="00781863" w:rsidP="008A21BC">
            <w:pPr>
              <w:numPr>
                <w:ilvl w:val="0"/>
                <w:numId w:val="7"/>
              </w:numPr>
              <w:spacing w:after="0" w:line="240" w:lineRule="auto"/>
              <w:ind w:left="193" w:hanging="180"/>
              <w:rPr>
                <w:sz w:val="20"/>
                <w:szCs w:val="20"/>
              </w:rPr>
            </w:pPr>
            <w:r w:rsidRPr="006920A0">
              <w:rPr>
                <w:sz w:val="20"/>
                <w:szCs w:val="20"/>
              </w:rPr>
              <w:t>Verbal Motor Production Assessment for Children (VMPAC)</w:t>
            </w:r>
          </w:p>
          <w:p w:rsidR="00781863" w:rsidRPr="006920A0" w:rsidRDefault="00781863" w:rsidP="00C45CE6">
            <w:pPr>
              <w:numPr>
                <w:ilvl w:val="0"/>
                <w:numId w:val="7"/>
              </w:numPr>
              <w:spacing w:after="0" w:line="240" w:lineRule="auto"/>
              <w:ind w:left="193" w:hanging="180"/>
              <w:rPr>
                <w:sz w:val="20"/>
                <w:szCs w:val="20"/>
              </w:rPr>
            </w:pPr>
            <w:r w:rsidRPr="006920A0">
              <w:rPr>
                <w:sz w:val="20"/>
                <w:szCs w:val="20"/>
              </w:rPr>
              <w:t>Viking Speech Scale (VSS)</w:t>
            </w:r>
          </w:p>
        </w:tc>
      </w:tr>
      <w:tr w:rsidR="00781863" w:rsidRPr="00A6251E" w:rsidTr="00781863">
        <w:trPr>
          <w:jc w:val="center"/>
        </w:trPr>
        <w:tc>
          <w:tcPr>
            <w:tcW w:w="2124" w:type="dxa"/>
          </w:tcPr>
          <w:p w:rsidR="00781863" w:rsidRPr="00A6251E" w:rsidRDefault="00781863" w:rsidP="00582693">
            <w:pPr>
              <w:spacing w:after="0" w:line="240" w:lineRule="auto"/>
              <w:rPr>
                <w:b/>
                <w:sz w:val="20"/>
                <w:szCs w:val="20"/>
              </w:rPr>
            </w:pPr>
            <w:r w:rsidRPr="00A6251E">
              <w:rPr>
                <w:b/>
                <w:sz w:val="20"/>
                <w:szCs w:val="20"/>
              </w:rPr>
              <w:t>Exploratory</w:t>
            </w:r>
          </w:p>
        </w:tc>
        <w:tc>
          <w:tcPr>
            <w:tcW w:w="5172" w:type="dxa"/>
          </w:tcPr>
          <w:p w:rsidR="00781863" w:rsidRDefault="00781863" w:rsidP="00C45CE6">
            <w:pPr>
              <w:numPr>
                <w:ilvl w:val="0"/>
                <w:numId w:val="6"/>
              </w:numPr>
              <w:spacing w:after="0" w:line="240" w:lineRule="auto"/>
              <w:ind w:left="265" w:hanging="181"/>
              <w:rPr>
                <w:sz w:val="20"/>
                <w:szCs w:val="20"/>
              </w:rPr>
            </w:pPr>
            <w:r w:rsidRPr="006920A0">
              <w:rPr>
                <w:sz w:val="20"/>
                <w:szCs w:val="20"/>
              </w:rPr>
              <w:t>Functional Independence Measure (FIM)</w:t>
            </w:r>
          </w:p>
          <w:p w:rsidR="00781863" w:rsidRPr="00781863" w:rsidRDefault="00781863" w:rsidP="00781863">
            <w:pPr>
              <w:numPr>
                <w:ilvl w:val="0"/>
                <w:numId w:val="6"/>
              </w:numPr>
              <w:spacing w:after="0" w:line="240" w:lineRule="auto"/>
              <w:ind w:left="265" w:hanging="181"/>
              <w:rPr>
                <w:sz w:val="20"/>
                <w:szCs w:val="20"/>
              </w:rPr>
            </w:pPr>
            <w:r w:rsidRPr="006920A0">
              <w:rPr>
                <w:sz w:val="20"/>
                <w:szCs w:val="20"/>
              </w:rPr>
              <w:t>Goal Attainment Scale (GAS)</w:t>
            </w:r>
          </w:p>
        </w:tc>
        <w:tc>
          <w:tcPr>
            <w:tcW w:w="5951" w:type="dxa"/>
          </w:tcPr>
          <w:p w:rsidR="00781863" w:rsidRDefault="00781863" w:rsidP="00582693">
            <w:pPr>
              <w:numPr>
                <w:ilvl w:val="0"/>
                <w:numId w:val="6"/>
              </w:numPr>
              <w:spacing w:after="0" w:line="240" w:lineRule="auto"/>
              <w:ind w:left="265" w:hanging="181"/>
              <w:rPr>
                <w:sz w:val="20"/>
                <w:szCs w:val="20"/>
              </w:rPr>
            </w:pPr>
            <w:r w:rsidRPr="006920A0">
              <w:rPr>
                <w:sz w:val="20"/>
                <w:szCs w:val="20"/>
              </w:rPr>
              <w:t>Dynamic Evaluation of Motor Speech Skills (DEMSS)</w:t>
            </w:r>
          </w:p>
          <w:p w:rsidR="00781863" w:rsidRPr="006920A0" w:rsidRDefault="008932AE" w:rsidP="008932AE">
            <w:pPr>
              <w:numPr>
                <w:ilvl w:val="0"/>
                <w:numId w:val="6"/>
              </w:numPr>
              <w:spacing w:after="0" w:line="240" w:lineRule="auto"/>
              <w:ind w:left="265" w:hanging="181"/>
              <w:rPr>
                <w:sz w:val="20"/>
                <w:szCs w:val="20"/>
              </w:rPr>
            </w:pPr>
            <w:r w:rsidRPr="006920A0">
              <w:rPr>
                <w:sz w:val="20"/>
                <w:szCs w:val="20"/>
              </w:rPr>
              <w:t xml:space="preserve">Test of Children's Speech (TOCS) </w:t>
            </w:r>
          </w:p>
        </w:tc>
      </w:tr>
    </w:tbl>
    <w:p w:rsidR="00DA4DA4" w:rsidRDefault="00DA4DA4" w:rsidP="00DA4DA4">
      <w:pPr>
        <w:sectPr w:rsidR="00DA4DA4" w:rsidSect="0039729D">
          <w:pgSz w:w="15840" w:h="12240" w:orient="landscape"/>
          <w:pgMar w:top="720" w:right="720" w:bottom="720" w:left="720" w:header="720" w:footer="720" w:gutter="0"/>
          <w:cols w:space="720"/>
          <w:docGrid w:linePitch="360"/>
        </w:sectPr>
      </w:pPr>
    </w:p>
    <w:p w:rsidR="00DA4DA4" w:rsidRPr="001362E9" w:rsidRDefault="00DA4DA4" w:rsidP="00DA4DA4">
      <w:pPr>
        <w:spacing w:after="0" w:line="240" w:lineRule="auto"/>
        <w:rPr>
          <w:b/>
        </w:rPr>
      </w:pPr>
      <w:proofErr w:type="spellStart"/>
      <w:r w:rsidRPr="001362E9">
        <w:rPr>
          <w:b/>
        </w:rPr>
        <w:lastRenderedPageBreak/>
        <w:t>Neuromotor</w:t>
      </w:r>
      <w:proofErr w:type="spellEnd"/>
      <w:r w:rsidRPr="001362E9">
        <w:rPr>
          <w:b/>
        </w:rPr>
        <w:t xml:space="preserve"> Skill and Functional Assessments</w:t>
      </w: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247"/>
        <w:gridCol w:w="3247"/>
        <w:gridCol w:w="2430"/>
        <w:gridCol w:w="3310"/>
      </w:tblGrid>
      <w:tr w:rsidR="00C45CE6" w:rsidRPr="00A6251E" w:rsidTr="00C45CE6">
        <w:trPr>
          <w:tblHeader/>
          <w:jc w:val="center"/>
        </w:trPr>
        <w:tc>
          <w:tcPr>
            <w:tcW w:w="2795" w:type="dxa"/>
          </w:tcPr>
          <w:p w:rsidR="00C45CE6" w:rsidRPr="00A6251E" w:rsidRDefault="00C45CE6" w:rsidP="0039729D">
            <w:pPr>
              <w:spacing w:after="0" w:line="240" w:lineRule="auto"/>
              <w:rPr>
                <w:sz w:val="20"/>
                <w:szCs w:val="20"/>
              </w:rPr>
            </w:pPr>
            <w:r w:rsidRPr="00A6251E">
              <w:rPr>
                <w:b/>
                <w:sz w:val="20"/>
                <w:szCs w:val="20"/>
              </w:rPr>
              <w:t>Classification</w:t>
            </w:r>
          </w:p>
        </w:tc>
        <w:tc>
          <w:tcPr>
            <w:tcW w:w="3247" w:type="dxa"/>
          </w:tcPr>
          <w:p w:rsidR="00C45CE6" w:rsidRPr="00A6251E" w:rsidRDefault="00C45CE6" w:rsidP="00464FAB">
            <w:pPr>
              <w:spacing w:after="0" w:line="240" w:lineRule="auto"/>
              <w:rPr>
                <w:b/>
                <w:sz w:val="20"/>
                <w:szCs w:val="20"/>
              </w:rPr>
            </w:pPr>
            <w:r>
              <w:rPr>
                <w:b/>
                <w:sz w:val="20"/>
                <w:szCs w:val="20"/>
              </w:rPr>
              <w:t>Classification</w:t>
            </w:r>
          </w:p>
        </w:tc>
        <w:tc>
          <w:tcPr>
            <w:tcW w:w="3247" w:type="dxa"/>
          </w:tcPr>
          <w:p w:rsidR="00C45CE6" w:rsidRPr="00A6251E" w:rsidRDefault="00C45CE6" w:rsidP="00464FAB">
            <w:pPr>
              <w:spacing w:after="0" w:line="240" w:lineRule="auto"/>
              <w:rPr>
                <w:b/>
                <w:sz w:val="20"/>
                <w:szCs w:val="20"/>
              </w:rPr>
            </w:pPr>
            <w:r w:rsidRPr="00A6251E">
              <w:rPr>
                <w:b/>
                <w:sz w:val="20"/>
                <w:szCs w:val="20"/>
              </w:rPr>
              <w:t>Motor Function</w:t>
            </w:r>
          </w:p>
        </w:tc>
        <w:tc>
          <w:tcPr>
            <w:tcW w:w="2430" w:type="dxa"/>
          </w:tcPr>
          <w:p w:rsidR="00C45CE6" w:rsidRPr="00A6251E" w:rsidRDefault="00C45CE6" w:rsidP="00423782">
            <w:pPr>
              <w:spacing w:after="0" w:line="240" w:lineRule="auto"/>
              <w:rPr>
                <w:b/>
                <w:sz w:val="20"/>
                <w:szCs w:val="20"/>
              </w:rPr>
            </w:pPr>
            <w:r w:rsidRPr="00A6251E">
              <w:rPr>
                <w:b/>
                <w:sz w:val="20"/>
                <w:szCs w:val="20"/>
              </w:rPr>
              <w:t>Spasticity/Movement</w:t>
            </w:r>
          </w:p>
        </w:tc>
        <w:tc>
          <w:tcPr>
            <w:tcW w:w="3310" w:type="dxa"/>
          </w:tcPr>
          <w:p w:rsidR="00C45CE6" w:rsidRPr="00A6251E" w:rsidRDefault="00C45CE6" w:rsidP="0039729D">
            <w:pPr>
              <w:spacing w:after="0" w:line="240" w:lineRule="auto"/>
              <w:rPr>
                <w:b/>
                <w:sz w:val="20"/>
                <w:szCs w:val="20"/>
              </w:rPr>
            </w:pPr>
            <w:r w:rsidRPr="00A6251E">
              <w:rPr>
                <w:b/>
                <w:sz w:val="20"/>
                <w:szCs w:val="20"/>
              </w:rPr>
              <w:t>Trunk Control/Balance</w:t>
            </w:r>
          </w:p>
        </w:tc>
      </w:tr>
      <w:tr w:rsidR="00C45CE6" w:rsidRPr="00A6251E" w:rsidTr="00C45CE6">
        <w:trPr>
          <w:jc w:val="center"/>
        </w:trPr>
        <w:tc>
          <w:tcPr>
            <w:tcW w:w="2795" w:type="dxa"/>
          </w:tcPr>
          <w:p w:rsidR="00C45CE6" w:rsidRPr="00A6251E" w:rsidRDefault="00C45CE6" w:rsidP="0039729D">
            <w:pPr>
              <w:spacing w:after="0" w:line="240" w:lineRule="auto"/>
              <w:rPr>
                <w:b/>
                <w:sz w:val="20"/>
                <w:szCs w:val="20"/>
              </w:rPr>
            </w:pPr>
            <w:r w:rsidRPr="00A6251E">
              <w:rPr>
                <w:b/>
                <w:sz w:val="20"/>
                <w:szCs w:val="20"/>
              </w:rPr>
              <w:t>Core</w:t>
            </w:r>
          </w:p>
        </w:tc>
        <w:tc>
          <w:tcPr>
            <w:tcW w:w="3247" w:type="dxa"/>
          </w:tcPr>
          <w:p w:rsidR="00C45CE6" w:rsidRPr="00A6251E" w:rsidRDefault="00C45CE6" w:rsidP="0039729D">
            <w:pPr>
              <w:spacing w:after="0" w:line="240" w:lineRule="auto"/>
              <w:rPr>
                <w:sz w:val="20"/>
                <w:szCs w:val="20"/>
              </w:rPr>
            </w:pPr>
          </w:p>
        </w:tc>
        <w:tc>
          <w:tcPr>
            <w:tcW w:w="3247" w:type="dxa"/>
          </w:tcPr>
          <w:p w:rsidR="00C45CE6" w:rsidRPr="00A6251E" w:rsidRDefault="00C45CE6" w:rsidP="0039729D">
            <w:pPr>
              <w:spacing w:after="0" w:line="240" w:lineRule="auto"/>
              <w:rPr>
                <w:sz w:val="20"/>
                <w:szCs w:val="20"/>
              </w:rPr>
            </w:pPr>
          </w:p>
        </w:tc>
        <w:tc>
          <w:tcPr>
            <w:tcW w:w="2430" w:type="dxa"/>
          </w:tcPr>
          <w:p w:rsidR="00C45CE6" w:rsidRPr="00A6251E" w:rsidRDefault="00C45CE6" w:rsidP="0039729D">
            <w:pPr>
              <w:spacing w:after="0" w:line="240" w:lineRule="auto"/>
              <w:rPr>
                <w:sz w:val="20"/>
                <w:szCs w:val="20"/>
              </w:rPr>
            </w:pPr>
          </w:p>
        </w:tc>
        <w:tc>
          <w:tcPr>
            <w:tcW w:w="3310" w:type="dxa"/>
          </w:tcPr>
          <w:p w:rsidR="00C45CE6" w:rsidRPr="00A6251E" w:rsidRDefault="00C45CE6" w:rsidP="0039729D">
            <w:pPr>
              <w:spacing w:after="0" w:line="240" w:lineRule="auto"/>
              <w:rPr>
                <w:sz w:val="20"/>
                <w:szCs w:val="20"/>
              </w:rPr>
            </w:pPr>
          </w:p>
        </w:tc>
      </w:tr>
      <w:tr w:rsidR="00C45CE6" w:rsidRPr="00A6251E" w:rsidTr="00C45CE6">
        <w:trPr>
          <w:trHeight w:val="1880"/>
          <w:jc w:val="center"/>
        </w:trPr>
        <w:tc>
          <w:tcPr>
            <w:tcW w:w="2795" w:type="dxa"/>
          </w:tcPr>
          <w:p w:rsidR="00C45CE6" w:rsidRPr="00A6251E" w:rsidRDefault="00C45CE6" w:rsidP="00582693">
            <w:pPr>
              <w:spacing w:after="0" w:line="240" w:lineRule="auto"/>
              <w:rPr>
                <w:sz w:val="20"/>
                <w:szCs w:val="20"/>
              </w:rPr>
            </w:pPr>
            <w:r w:rsidRPr="00A6251E">
              <w:rPr>
                <w:b/>
                <w:sz w:val="20"/>
                <w:szCs w:val="20"/>
              </w:rPr>
              <w:t>Supplemental – Highly Recommended</w:t>
            </w:r>
          </w:p>
        </w:tc>
        <w:tc>
          <w:tcPr>
            <w:tcW w:w="3247" w:type="dxa"/>
          </w:tcPr>
          <w:p w:rsidR="00C45CE6" w:rsidRPr="006920A0" w:rsidRDefault="00C45CE6" w:rsidP="00C45CE6">
            <w:pPr>
              <w:numPr>
                <w:ilvl w:val="0"/>
                <w:numId w:val="5"/>
              </w:numPr>
              <w:spacing w:after="0" w:line="240" w:lineRule="auto"/>
              <w:ind w:left="211" w:hanging="178"/>
              <w:rPr>
                <w:sz w:val="20"/>
                <w:szCs w:val="20"/>
              </w:rPr>
            </w:pPr>
            <w:r w:rsidRPr="006920A0">
              <w:rPr>
                <w:sz w:val="20"/>
                <w:szCs w:val="20"/>
              </w:rPr>
              <w:t>Eating and Drinking Ability Classification System (EDACS)</w:t>
            </w:r>
          </w:p>
          <w:p w:rsidR="00C45CE6" w:rsidRPr="006920A0" w:rsidRDefault="00C45CE6" w:rsidP="00C45CE6">
            <w:pPr>
              <w:numPr>
                <w:ilvl w:val="0"/>
                <w:numId w:val="5"/>
              </w:numPr>
              <w:spacing w:after="0" w:line="240" w:lineRule="auto"/>
              <w:ind w:left="265" w:hanging="173"/>
              <w:rPr>
                <w:sz w:val="20"/>
                <w:szCs w:val="20"/>
              </w:rPr>
            </w:pPr>
            <w:r w:rsidRPr="006920A0">
              <w:rPr>
                <w:sz w:val="20"/>
                <w:szCs w:val="20"/>
              </w:rPr>
              <w:t>Gross Motor Function Classification System-Expanded &amp; Revised (GMFCS- ER)</w:t>
            </w:r>
          </w:p>
          <w:p w:rsidR="00C45CE6" w:rsidRPr="006920A0" w:rsidRDefault="00C45CE6" w:rsidP="00C45CE6">
            <w:pPr>
              <w:numPr>
                <w:ilvl w:val="0"/>
                <w:numId w:val="5"/>
              </w:numPr>
              <w:spacing w:after="0" w:line="240" w:lineRule="auto"/>
              <w:ind w:left="211" w:hanging="178"/>
              <w:rPr>
                <w:sz w:val="20"/>
                <w:szCs w:val="20"/>
              </w:rPr>
            </w:pPr>
            <w:r w:rsidRPr="006920A0">
              <w:rPr>
                <w:sz w:val="20"/>
                <w:szCs w:val="20"/>
              </w:rPr>
              <w:t>Manual Ability Classification System</w:t>
            </w:r>
          </w:p>
          <w:p w:rsidR="00C45CE6" w:rsidRPr="006920A0" w:rsidRDefault="00C45CE6" w:rsidP="008932AE">
            <w:pPr>
              <w:numPr>
                <w:ilvl w:val="0"/>
                <w:numId w:val="5"/>
              </w:numPr>
              <w:spacing w:after="0" w:line="240" w:lineRule="auto"/>
              <w:ind w:left="185" w:hanging="180"/>
              <w:rPr>
                <w:sz w:val="20"/>
                <w:szCs w:val="20"/>
              </w:rPr>
            </w:pPr>
            <w:r w:rsidRPr="006920A0">
              <w:rPr>
                <w:sz w:val="20"/>
                <w:szCs w:val="20"/>
              </w:rPr>
              <w:t>Communication Function Classification System (CFCS)</w:t>
            </w:r>
          </w:p>
        </w:tc>
        <w:tc>
          <w:tcPr>
            <w:tcW w:w="3247" w:type="dxa"/>
          </w:tcPr>
          <w:p w:rsidR="00C45CE6" w:rsidRPr="006920A0" w:rsidRDefault="00C45CE6" w:rsidP="00C45CE6">
            <w:pPr>
              <w:numPr>
                <w:ilvl w:val="0"/>
                <w:numId w:val="5"/>
              </w:numPr>
              <w:spacing w:after="0" w:line="240" w:lineRule="auto"/>
              <w:ind w:left="211" w:hanging="178"/>
              <w:rPr>
                <w:sz w:val="20"/>
                <w:szCs w:val="20"/>
              </w:rPr>
            </w:pPr>
            <w:r w:rsidRPr="006920A0">
              <w:rPr>
                <w:sz w:val="20"/>
                <w:szCs w:val="20"/>
              </w:rPr>
              <w:t>Alberta Infant Motor Scale (AIMS)</w:t>
            </w:r>
          </w:p>
          <w:p w:rsidR="00781863" w:rsidRDefault="00781863" w:rsidP="00C45CE6">
            <w:pPr>
              <w:numPr>
                <w:ilvl w:val="0"/>
                <w:numId w:val="5"/>
              </w:numPr>
              <w:spacing w:after="0" w:line="240" w:lineRule="auto"/>
              <w:ind w:left="211" w:hanging="178"/>
              <w:rPr>
                <w:sz w:val="20"/>
                <w:szCs w:val="20"/>
              </w:rPr>
            </w:pPr>
            <w:r w:rsidRPr="006920A0">
              <w:rPr>
                <w:sz w:val="20"/>
                <w:szCs w:val="20"/>
              </w:rPr>
              <w:t>Canadian Occupational Performance Measure (COPM)</w:t>
            </w:r>
          </w:p>
          <w:p w:rsidR="008932AE" w:rsidRPr="006920A0" w:rsidRDefault="008932AE" w:rsidP="008932AE">
            <w:pPr>
              <w:numPr>
                <w:ilvl w:val="0"/>
                <w:numId w:val="5"/>
              </w:numPr>
              <w:spacing w:after="0" w:line="240" w:lineRule="auto"/>
              <w:ind w:left="265" w:hanging="173"/>
              <w:rPr>
                <w:sz w:val="20"/>
                <w:szCs w:val="20"/>
              </w:rPr>
            </w:pPr>
            <w:r w:rsidRPr="006920A0">
              <w:rPr>
                <w:sz w:val="20"/>
                <w:szCs w:val="20"/>
              </w:rPr>
              <w:t>Gross Motor Function Measure (GMFM-88, GMFM-66)</w:t>
            </w:r>
          </w:p>
          <w:p w:rsidR="00C45CE6" w:rsidRPr="006920A0" w:rsidRDefault="00C45CE6" w:rsidP="00C45CE6">
            <w:pPr>
              <w:numPr>
                <w:ilvl w:val="0"/>
                <w:numId w:val="5"/>
              </w:numPr>
              <w:spacing w:after="0" w:line="240" w:lineRule="auto"/>
              <w:ind w:left="211" w:hanging="178"/>
              <w:rPr>
                <w:sz w:val="20"/>
                <w:szCs w:val="20"/>
              </w:rPr>
            </w:pPr>
            <w:proofErr w:type="spellStart"/>
            <w:r w:rsidRPr="006920A0">
              <w:rPr>
                <w:sz w:val="20"/>
                <w:szCs w:val="20"/>
              </w:rPr>
              <w:t>Prechtl's</w:t>
            </w:r>
            <w:proofErr w:type="spellEnd"/>
            <w:r w:rsidRPr="006920A0">
              <w:rPr>
                <w:sz w:val="20"/>
                <w:szCs w:val="20"/>
              </w:rPr>
              <w:t xml:space="preserve"> Assessment of General Movements [General Movement Assessments]</w:t>
            </w:r>
          </w:p>
          <w:p w:rsidR="00C45CE6" w:rsidRPr="008932AE" w:rsidRDefault="00C45CE6" w:rsidP="008932AE">
            <w:pPr>
              <w:numPr>
                <w:ilvl w:val="0"/>
                <w:numId w:val="5"/>
              </w:numPr>
              <w:spacing w:after="0" w:line="240" w:lineRule="auto"/>
              <w:ind w:left="211" w:hanging="178"/>
              <w:rPr>
                <w:sz w:val="20"/>
                <w:szCs w:val="20"/>
              </w:rPr>
            </w:pPr>
            <w:r w:rsidRPr="006920A0">
              <w:rPr>
                <w:sz w:val="20"/>
                <w:szCs w:val="20"/>
              </w:rPr>
              <w:t>Test of Infant Motor Performance (TIMP)</w:t>
            </w:r>
          </w:p>
        </w:tc>
        <w:tc>
          <w:tcPr>
            <w:tcW w:w="2430" w:type="dxa"/>
          </w:tcPr>
          <w:p w:rsidR="00C45CE6" w:rsidRPr="006920A0" w:rsidRDefault="00C45CE6" w:rsidP="00582693">
            <w:pPr>
              <w:numPr>
                <w:ilvl w:val="0"/>
                <w:numId w:val="5"/>
              </w:numPr>
              <w:spacing w:after="0" w:line="240" w:lineRule="auto"/>
              <w:ind w:left="180" w:hanging="180"/>
              <w:rPr>
                <w:sz w:val="20"/>
                <w:szCs w:val="20"/>
              </w:rPr>
            </w:pPr>
            <w:r w:rsidRPr="006920A0">
              <w:rPr>
                <w:sz w:val="20"/>
                <w:szCs w:val="20"/>
              </w:rPr>
              <w:t>Barry Albright Dystonia Scale (BADS)</w:t>
            </w:r>
          </w:p>
          <w:p w:rsidR="00C45CE6" w:rsidRPr="006920A0" w:rsidRDefault="00C45CE6" w:rsidP="00582693">
            <w:pPr>
              <w:numPr>
                <w:ilvl w:val="0"/>
                <w:numId w:val="5"/>
              </w:numPr>
              <w:spacing w:after="0" w:line="240" w:lineRule="auto"/>
              <w:ind w:left="180" w:hanging="180"/>
              <w:rPr>
                <w:sz w:val="20"/>
                <w:szCs w:val="20"/>
              </w:rPr>
            </w:pPr>
            <w:r w:rsidRPr="006920A0">
              <w:rPr>
                <w:sz w:val="20"/>
                <w:szCs w:val="20"/>
              </w:rPr>
              <w:t>Tardieu Scale</w:t>
            </w:r>
          </w:p>
        </w:tc>
        <w:tc>
          <w:tcPr>
            <w:tcW w:w="3310" w:type="dxa"/>
          </w:tcPr>
          <w:p w:rsidR="00C45CE6" w:rsidRPr="006920A0" w:rsidRDefault="00C45CE6" w:rsidP="00582693">
            <w:pPr>
              <w:spacing w:after="0" w:line="240" w:lineRule="auto"/>
              <w:ind w:left="180"/>
              <w:rPr>
                <w:sz w:val="20"/>
                <w:szCs w:val="20"/>
              </w:rPr>
            </w:pPr>
          </w:p>
        </w:tc>
      </w:tr>
      <w:tr w:rsidR="00C45CE6" w:rsidRPr="00A6251E" w:rsidTr="00C45CE6">
        <w:trPr>
          <w:jc w:val="center"/>
        </w:trPr>
        <w:tc>
          <w:tcPr>
            <w:tcW w:w="2795" w:type="dxa"/>
          </w:tcPr>
          <w:p w:rsidR="00C45CE6" w:rsidRPr="00A6251E" w:rsidRDefault="00C45CE6" w:rsidP="0039729D">
            <w:pPr>
              <w:spacing w:after="0" w:line="240" w:lineRule="auto"/>
              <w:rPr>
                <w:b/>
                <w:sz w:val="20"/>
                <w:szCs w:val="20"/>
              </w:rPr>
            </w:pPr>
            <w:r w:rsidRPr="00A6251E">
              <w:rPr>
                <w:b/>
                <w:sz w:val="20"/>
                <w:szCs w:val="20"/>
              </w:rPr>
              <w:t>Supplemental</w:t>
            </w:r>
          </w:p>
        </w:tc>
        <w:tc>
          <w:tcPr>
            <w:tcW w:w="3247" w:type="dxa"/>
          </w:tcPr>
          <w:p w:rsidR="00C45CE6" w:rsidRPr="006920A0" w:rsidRDefault="00C45CE6" w:rsidP="00C45CE6">
            <w:pPr>
              <w:spacing w:after="0" w:line="240" w:lineRule="auto"/>
              <w:ind w:left="219"/>
              <w:rPr>
                <w:sz w:val="20"/>
                <w:szCs w:val="20"/>
              </w:rPr>
            </w:pPr>
          </w:p>
        </w:tc>
        <w:tc>
          <w:tcPr>
            <w:tcW w:w="3247" w:type="dxa"/>
          </w:tcPr>
          <w:p w:rsidR="00C45CE6" w:rsidRPr="006920A0" w:rsidRDefault="00C45CE6" w:rsidP="00C45CE6">
            <w:pPr>
              <w:numPr>
                <w:ilvl w:val="0"/>
                <w:numId w:val="6"/>
              </w:numPr>
              <w:spacing w:after="0" w:line="240" w:lineRule="auto"/>
              <w:ind w:left="219" w:hanging="200"/>
              <w:rPr>
                <w:sz w:val="20"/>
                <w:szCs w:val="20"/>
              </w:rPr>
            </w:pPr>
            <w:r w:rsidRPr="006920A0">
              <w:rPr>
                <w:sz w:val="20"/>
                <w:szCs w:val="20"/>
              </w:rPr>
              <w:t>ABILHAND-Kids</w:t>
            </w:r>
          </w:p>
          <w:p w:rsidR="00C45CE6" w:rsidRPr="006920A0" w:rsidRDefault="00C45CE6" w:rsidP="00C45CE6">
            <w:pPr>
              <w:numPr>
                <w:ilvl w:val="0"/>
                <w:numId w:val="6"/>
              </w:numPr>
              <w:spacing w:after="0" w:line="240" w:lineRule="auto"/>
              <w:ind w:left="219" w:hanging="200"/>
              <w:rPr>
                <w:sz w:val="20"/>
                <w:szCs w:val="20"/>
              </w:rPr>
            </w:pPr>
            <w:r w:rsidRPr="006920A0">
              <w:rPr>
                <w:sz w:val="20"/>
                <w:szCs w:val="20"/>
              </w:rPr>
              <w:t>Assisting Hand Assessment (AHA)</w:t>
            </w:r>
          </w:p>
          <w:p w:rsidR="00C45CE6" w:rsidRPr="006920A0" w:rsidRDefault="00C45CE6" w:rsidP="00C45CE6">
            <w:pPr>
              <w:numPr>
                <w:ilvl w:val="0"/>
                <w:numId w:val="6"/>
              </w:numPr>
              <w:spacing w:after="0" w:line="240" w:lineRule="auto"/>
              <w:ind w:left="219" w:hanging="200"/>
              <w:rPr>
                <w:sz w:val="20"/>
                <w:szCs w:val="20"/>
              </w:rPr>
            </w:pPr>
            <w:r w:rsidRPr="006920A0">
              <w:rPr>
                <w:sz w:val="20"/>
                <w:szCs w:val="20"/>
              </w:rPr>
              <w:t>Melbourne Assessment 2:A Test of Unilateral Upper Limb Function</w:t>
            </w:r>
          </w:p>
          <w:p w:rsidR="00C45CE6" w:rsidRDefault="00C45CE6" w:rsidP="00C45CE6">
            <w:pPr>
              <w:numPr>
                <w:ilvl w:val="0"/>
                <w:numId w:val="6"/>
              </w:numPr>
              <w:spacing w:after="0" w:line="240" w:lineRule="auto"/>
              <w:ind w:left="219" w:hanging="200"/>
              <w:rPr>
                <w:sz w:val="20"/>
                <w:szCs w:val="20"/>
              </w:rPr>
            </w:pPr>
            <w:r w:rsidRPr="006920A0">
              <w:rPr>
                <w:sz w:val="20"/>
                <w:szCs w:val="20"/>
              </w:rPr>
              <w:t>Quality of Upper Extremity Skills Test (QUEST)</w:t>
            </w:r>
          </w:p>
          <w:p w:rsidR="00C45CE6" w:rsidRPr="006920A0" w:rsidRDefault="00C45CE6" w:rsidP="00582693">
            <w:pPr>
              <w:numPr>
                <w:ilvl w:val="0"/>
                <w:numId w:val="6"/>
              </w:numPr>
              <w:spacing w:after="0" w:line="240" w:lineRule="auto"/>
              <w:ind w:left="218" w:hanging="140"/>
              <w:rPr>
                <w:sz w:val="20"/>
                <w:szCs w:val="20"/>
              </w:rPr>
            </w:pPr>
            <w:r w:rsidRPr="00C45CE6">
              <w:rPr>
                <w:sz w:val="20"/>
                <w:szCs w:val="20"/>
              </w:rPr>
              <w:t>Shriners Hospital for Children Upper Extremity Evaluation (SHUEE)</w:t>
            </w:r>
            <w:r w:rsidRPr="006920A0">
              <w:rPr>
                <w:sz w:val="20"/>
                <w:szCs w:val="20"/>
              </w:rPr>
              <w:t>Manual Muscle Testing- Using the Medical Research Council Muscle Grading Scale</w:t>
            </w:r>
          </w:p>
          <w:p w:rsidR="00C45CE6" w:rsidRPr="006920A0" w:rsidRDefault="00C45CE6" w:rsidP="008932AE">
            <w:pPr>
              <w:numPr>
                <w:ilvl w:val="0"/>
                <w:numId w:val="6"/>
              </w:numPr>
              <w:spacing w:after="0" w:line="240" w:lineRule="auto"/>
              <w:ind w:left="218" w:hanging="140"/>
              <w:rPr>
                <w:sz w:val="20"/>
                <w:szCs w:val="20"/>
              </w:rPr>
            </w:pPr>
            <w:r w:rsidRPr="006920A0">
              <w:rPr>
                <w:sz w:val="20"/>
                <w:szCs w:val="20"/>
              </w:rPr>
              <w:t>Maximum Voluntary Isometric Contraction Testing (MVICT)</w:t>
            </w:r>
          </w:p>
        </w:tc>
        <w:tc>
          <w:tcPr>
            <w:tcW w:w="2430" w:type="dxa"/>
          </w:tcPr>
          <w:p w:rsidR="00C45CE6" w:rsidRPr="006920A0" w:rsidRDefault="00C45CE6" w:rsidP="00580810">
            <w:pPr>
              <w:numPr>
                <w:ilvl w:val="0"/>
                <w:numId w:val="6"/>
              </w:numPr>
              <w:spacing w:after="0" w:line="240" w:lineRule="auto"/>
              <w:ind w:left="218" w:hanging="140"/>
              <w:rPr>
                <w:sz w:val="20"/>
                <w:szCs w:val="20"/>
              </w:rPr>
            </w:pPr>
            <w:r w:rsidRPr="006920A0">
              <w:rPr>
                <w:sz w:val="20"/>
                <w:szCs w:val="20"/>
              </w:rPr>
              <w:t>Hypertonia Assessment tool (HAT)</w:t>
            </w:r>
          </w:p>
          <w:p w:rsidR="00C45CE6" w:rsidRPr="006920A0" w:rsidRDefault="00C45CE6" w:rsidP="00580810">
            <w:pPr>
              <w:numPr>
                <w:ilvl w:val="0"/>
                <w:numId w:val="6"/>
              </w:numPr>
              <w:spacing w:after="0" w:line="240" w:lineRule="auto"/>
              <w:ind w:left="218" w:hanging="140"/>
              <w:rPr>
                <w:sz w:val="20"/>
                <w:szCs w:val="20"/>
              </w:rPr>
            </w:pPr>
            <w:r w:rsidRPr="006920A0">
              <w:rPr>
                <w:sz w:val="20"/>
                <w:szCs w:val="20"/>
              </w:rPr>
              <w:t>Selective Control Assessment of the Lower Extremity (SCALE)</w:t>
            </w:r>
          </w:p>
        </w:tc>
        <w:tc>
          <w:tcPr>
            <w:tcW w:w="3310" w:type="dxa"/>
          </w:tcPr>
          <w:p w:rsidR="00C45CE6" w:rsidRPr="006920A0" w:rsidRDefault="00C45CE6" w:rsidP="00DA4DA4">
            <w:pPr>
              <w:numPr>
                <w:ilvl w:val="0"/>
                <w:numId w:val="6"/>
              </w:numPr>
              <w:spacing w:after="0" w:line="240" w:lineRule="auto"/>
              <w:ind w:left="218" w:hanging="140"/>
              <w:rPr>
                <w:sz w:val="20"/>
                <w:szCs w:val="20"/>
              </w:rPr>
            </w:pPr>
            <w:r w:rsidRPr="00C45CE6">
              <w:rPr>
                <w:rFonts w:eastAsia="Times New Roman"/>
              </w:rPr>
              <w:t>Berg Balance Scale (BBS)</w:t>
            </w:r>
          </w:p>
          <w:p w:rsidR="00C45CE6" w:rsidRPr="006920A0" w:rsidRDefault="00C45CE6" w:rsidP="00A62B27">
            <w:pPr>
              <w:numPr>
                <w:ilvl w:val="0"/>
                <w:numId w:val="6"/>
              </w:numPr>
              <w:spacing w:after="0" w:line="240" w:lineRule="auto"/>
              <w:ind w:left="218" w:hanging="140"/>
              <w:rPr>
                <w:sz w:val="20"/>
                <w:szCs w:val="20"/>
              </w:rPr>
            </w:pPr>
            <w:r w:rsidRPr="006920A0">
              <w:rPr>
                <w:sz w:val="20"/>
                <w:szCs w:val="20"/>
              </w:rPr>
              <w:t>Functional Reach Test</w:t>
            </w:r>
          </w:p>
          <w:p w:rsidR="00C45CE6" w:rsidRPr="006920A0" w:rsidRDefault="00C45CE6" w:rsidP="00DA4DA4">
            <w:pPr>
              <w:numPr>
                <w:ilvl w:val="0"/>
                <w:numId w:val="6"/>
              </w:numPr>
              <w:spacing w:after="0" w:line="240" w:lineRule="auto"/>
              <w:ind w:left="218" w:hanging="140"/>
              <w:rPr>
                <w:sz w:val="20"/>
                <w:szCs w:val="20"/>
              </w:rPr>
            </w:pPr>
            <w:r w:rsidRPr="006920A0">
              <w:rPr>
                <w:sz w:val="20"/>
                <w:szCs w:val="20"/>
              </w:rPr>
              <w:t>Segmental Assessment of Trunk Control (</w:t>
            </w:r>
            <w:proofErr w:type="spellStart"/>
            <w:r w:rsidRPr="006920A0">
              <w:rPr>
                <w:sz w:val="20"/>
                <w:szCs w:val="20"/>
              </w:rPr>
              <w:t>SATCo</w:t>
            </w:r>
            <w:proofErr w:type="spellEnd"/>
            <w:r w:rsidRPr="006920A0">
              <w:rPr>
                <w:sz w:val="20"/>
                <w:szCs w:val="20"/>
              </w:rPr>
              <w:t>)</w:t>
            </w:r>
          </w:p>
          <w:p w:rsidR="00C45CE6" w:rsidRPr="006920A0" w:rsidRDefault="00C45CE6" w:rsidP="00DA4DA4">
            <w:pPr>
              <w:numPr>
                <w:ilvl w:val="0"/>
                <w:numId w:val="6"/>
              </w:numPr>
              <w:spacing w:after="0" w:line="240" w:lineRule="auto"/>
              <w:ind w:left="218" w:hanging="140"/>
              <w:rPr>
                <w:sz w:val="20"/>
                <w:szCs w:val="20"/>
              </w:rPr>
            </w:pPr>
            <w:r w:rsidRPr="006920A0">
              <w:rPr>
                <w:sz w:val="20"/>
                <w:szCs w:val="20"/>
              </w:rPr>
              <w:t>Trunk Control Measurement Scale (TCMS)</w:t>
            </w:r>
          </w:p>
        </w:tc>
      </w:tr>
      <w:tr w:rsidR="00C45CE6" w:rsidRPr="00A6251E" w:rsidTr="008932AE">
        <w:trPr>
          <w:trHeight w:val="1394"/>
          <w:jc w:val="center"/>
        </w:trPr>
        <w:tc>
          <w:tcPr>
            <w:tcW w:w="2795" w:type="dxa"/>
          </w:tcPr>
          <w:p w:rsidR="00C45CE6" w:rsidRPr="00A6251E" w:rsidRDefault="00C45CE6" w:rsidP="00582693">
            <w:pPr>
              <w:spacing w:after="0" w:line="240" w:lineRule="auto"/>
              <w:rPr>
                <w:b/>
                <w:sz w:val="20"/>
                <w:szCs w:val="20"/>
              </w:rPr>
            </w:pPr>
            <w:r w:rsidRPr="00A6251E">
              <w:rPr>
                <w:b/>
                <w:sz w:val="20"/>
                <w:szCs w:val="20"/>
              </w:rPr>
              <w:t>Exploratory</w:t>
            </w:r>
          </w:p>
        </w:tc>
        <w:tc>
          <w:tcPr>
            <w:tcW w:w="3247" w:type="dxa"/>
          </w:tcPr>
          <w:p w:rsidR="00C45CE6" w:rsidRPr="006920A0" w:rsidRDefault="00C45CE6" w:rsidP="00C45CE6">
            <w:pPr>
              <w:numPr>
                <w:ilvl w:val="0"/>
                <w:numId w:val="6"/>
              </w:numPr>
              <w:spacing w:after="0" w:line="240" w:lineRule="auto"/>
              <w:ind w:left="197" w:hanging="172"/>
              <w:rPr>
                <w:sz w:val="20"/>
                <w:szCs w:val="20"/>
              </w:rPr>
            </w:pPr>
            <w:r w:rsidRPr="006920A0">
              <w:rPr>
                <w:sz w:val="20"/>
                <w:szCs w:val="20"/>
              </w:rPr>
              <w:t>Bimanual Fine Motor Function (BFMF)</w:t>
            </w:r>
          </w:p>
        </w:tc>
        <w:tc>
          <w:tcPr>
            <w:tcW w:w="3247" w:type="dxa"/>
          </w:tcPr>
          <w:p w:rsidR="00C45CE6" w:rsidRPr="006920A0" w:rsidRDefault="00C45CE6" w:rsidP="00C45CE6">
            <w:pPr>
              <w:numPr>
                <w:ilvl w:val="0"/>
                <w:numId w:val="6"/>
              </w:numPr>
              <w:spacing w:after="0" w:line="240" w:lineRule="auto"/>
              <w:ind w:left="197" w:hanging="172"/>
              <w:rPr>
                <w:sz w:val="20"/>
                <w:szCs w:val="20"/>
              </w:rPr>
            </w:pPr>
            <w:r w:rsidRPr="006920A0">
              <w:rPr>
                <w:sz w:val="20"/>
                <w:szCs w:val="20"/>
              </w:rPr>
              <w:t>Box and Blocks Test of Manual Dexterity</w:t>
            </w:r>
          </w:p>
          <w:p w:rsidR="00C45CE6" w:rsidRPr="006920A0" w:rsidRDefault="00C45CE6" w:rsidP="00C45CE6">
            <w:pPr>
              <w:numPr>
                <w:ilvl w:val="0"/>
                <w:numId w:val="6"/>
              </w:numPr>
              <w:spacing w:after="0" w:line="240" w:lineRule="auto"/>
              <w:ind w:left="197" w:hanging="172"/>
              <w:rPr>
                <w:sz w:val="20"/>
                <w:szCs w:val="20"/>
              </w:rPr>
            </w:pPr>
            <w:proofErr w:type="spellStart"/>
            <w:r w:rsidRPr="006920A0">
              <w:rPr>
                <w:sz w:val="20"/>
                <w:szCs w:val="20"/>
              </w:rPr>
              <w:t>Jebsen</w:t>
            </w:r>
            <w:proofErr w:type="spellEnd"/>
            <w:r w:rsidRPr="006920A0">
              <w:rPr>
                <w:sz w:val="20"/>
                <w:szCs w:val="20"/>
              </w:rPr>
              <w:t xml:space="preserve"> Taylor Hand Function Test</w:t>
            </w:r>
          </w:p>
          <w:p w:rsidR="00C45CE6" w:rsidRDefault="00C45CE6" w:rsidP="00C45CE6">
            <w:pPr>
              <w:numPr>
                <w:ilvl w:val="0"/>
                <w:numId w:val="6"/>
              </w:numPr>
              <w:spacing w:after="0" w:line="240" w:lineRule="auto"/>
              <w:ind w:left="197" w:hanging="172"/>
              <w:rPr>
                <w:sz w:val="20"/>
                <w:szCs w:val="20"/>
              </w:rPr>
            </w:pPr>
            <w:r w:rsidRPr="006920A0">
              <w:rPr>
                <w:sz w:val="20"/>
                <w:szCs w:val="20"/>
              </w:rPr>
              <w:t>Nine-Hole Peg Test (9-HPT)</w:t>
            </w:r>
          </w:p>
          <w:p w:rsidR="00C45CE6" w:rsidRPr="008932AE" w:rsidRDefault="008932AE" w:rsidP="008932AE">
            <w:pPr>
              <w:numPr>
                <w:ilvl w:val="0"/>
                <w:numId w:val="6"/>
              </w:numPr>
              <w:spacing w:after="0" w:line="240" w:lineRule="auto"/>
              <w:ind w:left="197" w:hanging="172"/>
              <w:rPr>
                <w:sz w:val="20"/>
                <w:szCs w:val="20"/>
              </w:rPr>
            </w:pPr>
            <w:r>
              <w:rPr>
                <w:sz w:val="20"/>
                <w:szCs w:val="20"/>
              </w:rPr>
              <w:t>Purdue Pegboard</w:t>
            </w:r>
          </w:p>
        </w:tc>
        <w:tc>
          <w:tcPr>
            <w:tcW w:w="2430" w:type="dxa"/>
          </w:tcPr>
          <w:p w:rsidR="00C45CE6" w:rsidRPr="006920A0" w:rsidRDefault="00C45CE6" w:rsidP="00582693">
            <w:pPr>
              <w:spacing w:after="0" w:line="240" w:lineRule="auto"/>
              <w:rPr>
                <w:sz w:val="20"/>
                <w:szCs w:val="20"/>
              </w:rPr>
            </w:pPr>
          </w:p>
        </w:tc>
        <w:tc>
          <w:tcPr>
            <w:tcW w:w="3310" w:type="dxa"/>
          </w:tcPr>
          <w:p w:rsidR="00C45CE6" w:rsidRPr="006920A0" w:rsidRDefault="00C45CE6" w:rsidP="00582693">
            <w:pPr>
              <w:numPr>
                <w:ilvl w:val="0"/>
                <w:numId w:val="6"/>
              </w:numPr>
              <w:spacing w:after="0" w:line="240" w:lineRule="auto"/>
              <w:ind w:left="168" w:hanging="167"/>
              <w:rPr>
                <w:sz w:val="20"/>
                <w:szCs w:val="20"/>
              </w:rPr>
            </w:pPr>
            <w:r w:rsidRPr="006920A0">
              <w:rPr>
                <w:sz w:val="20"/>
                <w:szCs w:val="20"/>
              </w:rPr>
              <w:t>Early Assessment of Balance (EAB)</w:t>
            </w:r>
          </w:p>
          <w:p w:rsidR="00C45CE6" w:rsidRPr="006920A0" w:rsidRDefault="00C45CE6" w:rsidP="00582693">
            <w:pPr>
              <w:numPr>
                <w:ilvl w:val="0"/>
                <w:numId w:val="6"/>
              </w:numPr>
              <w:spacing w:after="0" w:line="240" w:lineRule="auto"/>
              <w:ind w:left="168" w:hanging="167"/>
              <w:rPr>
                <w:sz w:val="20"/>
                <w:szCs w:val="20"/>
              </w:rPr>
            </w:pPr>
            <w:r w:rsidRPr="006920A0">
              <w:rPr>
                <w:sz w:val="20"/>
                <w:szCs w:val="20"/>
              </w:rPr>
              <w:t>Level of Sitting Scale (LSS)</w:t>
            </w:r>
          </w:p>
        </w:tc>
      </w:tr>
    </w:tbl>
    <w:p w:rsidR="00580810" w:rsidRDefault="00580810" w:rsidP="00A62B27">
      <w:pPr>
        <w:tabs>
          <w:tab w:val="left" w:pos="4819"/>
        </w:tabs>
        <w:spacing w:after="0" w:line="240" w:lineRule="auto"/>
      </w:pPr>
    </w:p>
    <w:sectPr w:rsidR="00580810" w:rsidSect="0039729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DCE" w:rsidRDefault="000E1DCE" w:rsidP="009B3440">
      <w:pPr>
        <w:spacing w:after="0" w:line="240" w:lineRule="auto"/>
      </w:pPr>
      <w:r>
        <w:separator/>
      </w:r>
    </w:p>
  </w:endnote>
  <w:endnote w:type="continuationSeparator" w:id="0">
    <w:p w:rsidR="000E1DCE" w:rsidRDefault="000E1DCE" w:rsidP="009B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DCE" w:rsidRDefault="000E1DCE" w:rsidP="009B3440">
      <w:pPr>
        <w:spacing w:after="0" w:line="240" w:lineRule="auto"/>
      </w:pPr>
      <w:r>
        <w:separator/>
      </w:r>
    </w:p>
  </w:footnote>
  <w:footnote w:type="continuationSeparator" w:id="0">
    <w:p w:rsidR="000E1DCE" w:rsidRDefault="000E1DCE" w:rsidP="009B3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DCE" w:rsidRDefault="000E1DCE">
    <w:pPr>
      <w:pStyle w:val="Header"/>
    </w:pPr>
    <w:r>
      <w:rPr>
        <w:noProof/>
      </w:rPr>
      <w:drawing>
        <wp:anchor distT="0" distB="0" distL="114300" distR="114300" simplePos="0" relativeHeight="251657728" behindDoc="1" locked="0" layoutInCell="1" allowOverlap="1">
          <wp:simplePos x="0" y="0"/>
          <wp:positionH relativeFrom="column">
            <wp:posOffset>57150</wp:posOffset>
          </wp:positionH>
          <wp:positionV relativeFrom="paragraph">
            <wp:posOffset>-220980</wp:posOffset>
          </wp:positionV>
          <wp:extent cx="1327785" cy="563880"/>
          <wp:effectExtent l="19050" t="0" r="571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327785" cy="563880"/>
                  </a:xfrm>
                  <a:prstGeom prst="rect">
                    <a:avLst/>
                  </a:prstGeom>
                  <a:noFill/>
                  <a:ln w="9525">
                    <a:noFill/>
                    <a:miter lim="800000"/>
                    <a:headEnd/>
                    <a:tailEnd/>
                  </a:ln>
                </pic:spPr>
              </pic:pic>
            </a:graphicData>
          </a:graphic>
        </wp:anchor>
      </w:drawing>
    </w:r>
  </w:p>
  <w:p w:rsidR="000E1DCE" w:rsidRDefault="000E1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32D94"/>
    <w:multiLevelType w:val="hybridMultilevel"/>
    <w:tmpl w:val="88FC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66658"/>
    <w:multiLevelType w:val="hybridMultilevel"/>
    <w:tmpl w:val="2664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31628"/>
    <w:multiLevelType w:val="hybridMultilevel"/>
    <w:tmpl w:val="63AE9920"/>
    <w:lvl w:ilvl="0" w:tplc="FDB47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15EB1"/>
    <w:multiLevelType w:val="hybridMultilevel"/>
    <w:tmpl w:val="905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47F1B"/>
    <w:multiLevelType w:val="hybridMultilevel"/>
    <w:tmpl w:val="69FC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8D5CFB"/>
    <w:multiLevelType w:val="hybridMultilevel"/>
    <w:tmpl w:val="E85E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A4B3A"/>
    <w:multiLevelType w:val="hybridMultilevel"/>
    <w:tmpl w:val="C79AE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BB09A4"/>
    <w:multiLevelType w:val="hybridMultilevel"/>
    <w:tmpl w:val="632C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C4440"/>
    <w:rsid w:val="00031F4D"/>
    <w:rsid w:val="000533B0"/>
    <w:rsid w:val="00053C18"/>
    <w:rsid w:val="00071CD0"/>
    <w:rsid w:val="000A32AA"/>
    <w:rsid w:val="000B70C0"/>
    <w:rsid w:val="000E1DCE"/>
    <w:rsid w:val="00121234"/>
    <w:rsid w:val="00165043"/>
    <w:rsid w:val="00183B9C"/>
    <w:rsid w:val="001F6057"/>
    <w:rsid w:val="001F6910"/>
    <w:rsid w:val="002314FE"/>
    <w:rsid w:val="00233B10"/>
    <w:rsid w:val="00245778"/>
    <w:rsid w:val="00256764"/>
    <w:rsid w:val="00274293"/>
    <w:rsid w:val="002C5E9E"/>
    <w:rsid w:val="00332BEE"/>
    <w:rsid w:val="00350B27"/>
    <w:rsid w:val="00383B17"/>
    <w:rsid w:val="0039729D"/>
    <w:rsid w:val="003A3CC7"/>
    <w:rsid w:val="003B0B78"/>
    <w:rsid w:val="003C10A5"/>
    <w:rsid w:val="00423782"/>
    <w:rsid w:val="004422E5"/>
    <w:rsid w:val="00461392"/>
    <w:rsid w:val="00464FAB"/>
    <w:rsid w:val="00475E4C"/>
    <w:rsid w:val="00481331"/>
    <w:rsid w:val="004C4B23"/>
    <w:rsid w:val="0050267E"/>
    <w:rsid w:val="00514595"/>
    <w:rsid w:val="0051624F"/>
    <w:rsid w:val="005208DB"/>
    <w:rsid w:val="00573DC7"/>
    <w:rsid w:val="00574229"/>
    <w:rsid w:val="00580810"/>
    <w:rsid w:val="0058223F"/>
    <w:rsid w:val="00582693"/>
    <w:rsid w:val="00582DC0"/>
    <w:rsid w:val="005969F7"/>
    <w:rsid w:val="005C4012"/>
    <w:rsid w:val="005C675F"/>
    <w:rsid w:val="00615B3A"/>
    <w:rsid w:val="00637590"/>
    <w:rsid w:val="00643EE0"/>
    <w:rsid w:val="00662873"/>
    <w:rsid w:val="00671FCA"/>
    <w:rsid w:val="006920A0"/>
    <w:rsid w:val="006A519C"/>
    <w:rsid w:val="006B487C"/>
    <w:rsid w:val="006D1DFA"/>
    <w:rsid w:val="006D799D"/>
    <w:rsid w:val="006E6E2F"/>
    <w:rsid w:val="006F13BF"/>
    <w:rsid w:val="007254F5"/>
    <w:rsid w:val="00733B85"/>
    <w:rsid w:val="0073609C"/>
    <w:rsid w:val="00756F32"/>
    <w:rsid w:val="00763846"/>
    <w:rsid w:val="00767639"/>
    <w:rsid w:val="00781863"/>
    <w:rsid w:val="00786D33"/>
    <w:rsid w:val="00832714"/>
    <w:rsid w:val="00864E22"/>
    <w:rsid w:val="0088033D"/>
    <w:rsid w:val="008817FB"/>
    <w:rsid w:val="00884719"/>
    <w:rsid w:val="008932AE"/>
    <w:rsid w:val="008A21BC"/>
    <w:rsid w:val="008D0B8B"/>
    <w:rsid w:val="008F427C"/>
    <w:rsid w:val="00915539"/>
    <w:rsid w:val="0091653B"/>
    <w:rsid w:val="00955403"/>
    <w:rsid w:val="00962DA4"/>
    <w:rsid w:val="00992F4A"/>
    <w:rsid w:val="009A61AC"/>
    <w:rsid w:val="009B3440"/>
    <w:rsid w:val="009D331E"/>
    <w:rsid w:val="009D743E"/>
    <w:rsid w:val="009E2C39"/>
    <w:rsid w:val="009E629F"/>
    <w:rsid w:val="00A00B84"/>
    <w:rsid w:val="00A2051C"/>
    <w:rsid w:val="00A22980"/>
    <w:rsid w:val="00A3646E"/>
    <w:rsid w:val="00A62B27"/>
    <w:rsid w:val="00A736AD"/>
    <w:rsid w:val="00AA2E44"/>
    <w:rsid w:val="00AB7045"/>
    <w:rsid w:val="00AB7430"/>
    <w:rsid w:val="00AC4440"/>
    <w:rsid w:val="00AD4BB7"/>
    <w:rsid w:val="00AD7E80"/>
    <w:rsid w:val="00AE2EBF"/>
    <w:rsid w:val="00AE70AC"/>
    <w:rsid w:val="00B23B13"/>
    <w:rsid w:val="00B31F20"/>
    <w:rsid w:val="00B374E9"/>
    <w:rsid w:val="00B65496"/>
    <w:rsid w:val="00B75E48"/>
    <w:rsid w:val="00B76233"/>
    <w:rsid w:val="00B84F8F"/>
    <w:rsid w:val="00B85DD8"/>
    <w:rsid w:val="00B862BF"/>
    <w:rsid w:val="00BB5091"/>
    <w:rsid w:val="00BC043F"/>
    <w:rsid w:val="00BD4EEB"/>
    <w:rsid w:val="00C05099"/>
    <w:rsid w:val="00C26956"/>
    <w:rsid w:val="00C441D2"/>
    <w:rsid w:val="00C45CE6"/>
    <w:rsid w:val="00C46839"/>
    <w:rsid w:val="00C62DC8"/>
    <w:rsid w:val="00C62F52"/>
    <w:rsid w:val="00C7411C"/>
    <w:rsid w:val="00C825AC"/>
    <w:rsid w:val="00C93C4B"/>
    <w:rsid w:val="00C963DF"/>
    <w:rsid w:val="00CE542F"/>
    <w:rsid w:val="00CF133E"/>
    <w:rsid w:val="00CF77E4"/>
    <w:rsid w:val="00D06C5A"/>
    <w:rsid w:val="00D266F2"/>
    <w:rsid w:val="00D51CBF"/>
    <w:rsid w:val="00D63186"/>
    <w:rsid w:val="00D8709C"/>
    <w:rsid w:val="00DA4DA4"/>
    <w:rsid w:val="00DD3C28"/>
    <w:rsid w:val="00DD4584"/>
    <w:rsid w:val="00DE2C40"/>
    <w:rsid w:val="00DF16D4"/>
    <w:rsid w:val="00E12777"/>
    <w:rsid w:val="00E3160A"/>
    <w:rsid w:val="00E774A4"/>
    <w:rsid w:val="00E96BFA"/>
    <w:rsid w:val="00E96FD8"/>
    <w:rsid w:val="00EB304C"/>
    <w:rsid w:val="00EB4954"/>
    <w:rsid w:val="00EE4C23"/>
    <w:rsid w:val="00F0014B"/>
    <w:rsid w:val="00F13706"/>
    <w:rsid w:val="00F51385"/>
    <w:rsid w:val="00F71AF0"/>
    <w:rsid w:val="00F75CCF"/>
    <w:rsid w:val="00FE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C3F0E184-62DE-4FF5-B31F-4E4670FF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7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440"/>
    <w:rPr>
      <w:sz w:val="22"/>
      <w:szCs w:val="22"/>
    </w:rPr>
  </w:style>
  <w:style w:type="paragraph" w:styleId="ListParagraph">
    <w:name w:val="List Paragraph"/>
    <w:basedOn w:val="Normal"/>
    <w:uiPriority w:val="34"/>
    <w:qFormat/>
    <w:rsid w:val="00AC4440"/>
    <w:pPr>
      <w:ind w:left="720"/>
      <w:contextualSpacing/>
    </w:pPr>
  </w:style>
  <w:style w:type="table" w:styleId="TableGrid">
    <w:name w:val="Table Grid"/>
    <w:basedOn w:val="TableNormal"/>
    <w:uiPriority w:val="59"/>
    <w:rsid w:val="00AC4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440"/>
    <w:pPr>
      <w:tabs>
        <w:tab w:val="center" w:pos="4680"/>
        <w:tab w:val="right" w:pos="9360"/>
      </w:tabs>
    </w:pPr>
  </w:style>
  <w:style w:type="character" w:customStyle="1" w:styleId="HeaderChar">
    <w:name w:val="Header Char"/>
    <w:basedOn w:val="DefaultParagraphFont"/>
    <w:link w:val="Header"/>
    <w:uiPriority w:val="99"/>
    <w:rsid w:val="009B3440"/>
    <w:rPr>
      <w:sz w:val="22"/>
      <w:szCs w:val="22"/>
    </w:rPr>
  </w:style>
  <w:style w:type="paragraph" w:styleId="Footer">
    <w:name w:val="footer"/>
    <w:basedOn w:val="Normal"/>
    <w:link w:val="FooterChar"/>
    <w:uiPriority w:val="99"/>
    <w:semiHidden/>
    <w:unhideWhenUsed/>
    <w:rsid w:val="009B3440"/>
    <w:pPr>
      <w:tabs>
        <w:tab w:val="center" w:pos="4680"/>
        <w:tab w:val="right" w:pos="9360"/>
      </w:tabs>
    </w:pPr>
  </w:style>
  <w:style w:type="character" w:customStyle="1" w:styleId="FooterChar">
    <w:name w:val="Footer Char"/>
    <w:basedOn w:val="DefaultParagraphFont"/>
    <w:link w:val="Footer"/>
    <w:uiPriority w:val="99"/>
    <w:semiHidden/>
    <w:rsid w:val="009B3440"/>
    <w:rPr>
      <w:sz w:val="22"/>
      <w:szCs w:val="22"/>
    </w:rPr>
  </w:style>
  <w:style w:type="paragraph" w:styleId="BalloonText">
    <w:name w:val="Balloon Text"/>
    <w:basedOn w:val="Normal"/>
    <w:link w:val="BalloonTextChar"/>
    <w:uiPriority w:val="99"/>
    <w:semiHidden/>
    <w:unhideWhenUsed/>
    <w:rsid w:val="009B3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440"/>
    <w:rPr>
      <w:rFonts w:ascii="Tahoma" w:hAnsi="Tahoma" w:cs="Tahoma"/>
      <w:sz w:val="16"/>
      <w:szCs w:val="16"/>
    </w:rPr>
  </w:style>
  <w:style w:type="paragraph" w:styleId="Revision">
    <w:name w:val="Revision"/>
    <w:hidden/>
    <w:uiPriority w:val="99"/>
    <w:semiHidden/>
    <w:rsid w:val="00BB50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3533">
      <w:bodyDiv w:val="1"/>
      <w:marLeft w:val="0"/>
      <w:marRight w:val="0"/>
      <w:marTop w:val="0"/>
      <w:marBottom w:val="0"/>
      <w:divBdr>
        <w:top w:val="none" w:sz="0" w:space="0" w:color="auto"/>
        <w:left w:val="none" w:sz="0" w:space="0" w:color="auto"/>
        <w:bottom w:val="none" w:sz="0" w:space="0" w:color="auto"/>
        <w:right w:val="none" w:sz="0" w:space="0" w:color="auto"/>
      </w:divBdr>
    </w:div>
    <w:div w:id="956718767">
      <w:bodyDiv w:val="1"/>
      <w:marLeft w:val="0"/>
      <w:marRight w:val="0"/>
      <w:marTop w:val="0"/>
      <w:marBottom w:val="0"/>
      <w:divBdr>
        <w:top w:val="none" w:sz="0" w:space="0" w:color="auto"/>
        <w:left w:val="none" w:sz="0" w:space="0" w:color="auto"/>
        <w:bottom w:val="none" w:sz="0" w:space="0" w:color="auto"/>
        <w:right w:val="none" w:sz="0" w:space="0" w:color="auto"/>
      </w:divBdr>
    </w:div>
    <w:div w:id="21290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10034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Lans</dc:creator>
  <cp:lastModifiedBy>Andy Franklin</cp:lastModifiedBy>
  <cp:revision>4</cp:revision>
  <cp:lastPrinted>2016-10-26T13:29:00Z</cp:lastPrinted>
  <dcterms:created xsi:type="dcterms:W3CDTF">2017-01-19T21:07:00Z</dcterms:created>
  <dcterms:modified xsi:type="dcterms:W3CDTF">2017-01-20T18:18:00Z</dcterms:modified>
</cp:coreProperties>
</file>