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DA" w:rsidRPr="00E35548" w:rsidRDefault="00570BDA" w:rsidP="00DE6791">
      <w:r w:rsidRPr="00E35548">
        <w:t xml:space="preserve">The following are the recommendations of the </w:t>
      </w:r>
      <w:r w:rsidR="00E671C4" w:rsidRPr="00E35548">
        <w:t>NMD</w:t>
      </w:r>
      <w:r w:rsidRPr="00E35548">
        <w:t xml:space="preserve"> CDE </w:t>
      </w:r>
      <w:r w:rsidR="00E671C4" w:rsidRPr="00E35548">
        <w:t>Demographics, Medical History, and Lab Tests</w:t>
      </w:r>
      <w:r w:rsidR="00DE6791">
        <w:t xml:space="preserve"> Subgroup.</w:t>
      </w:r>
      <w:r w:rsidRPr="00E35548">
        <w:t xml:space="preserve"> The CDE recommendations have been divided into separate categories and are presented in different tables as shown below:</w:t>
      </w:r>
    </w:p>
    <w:p w:rsidR="00570BDA" w:rsidRPr="00DE6791" w:rsidRDefault="00570BDA" w:rsidP="00F12CF5">
      <w:pPr>
        <w:numPr>
          <w:ilvl w:val="0"/>
          <w:numId w:val="2"/>
        </w:numPr>
      </w:pPr>
      <w:r w:rsidRPr="00E35548">
        <w:t xml:space="preserve">Table 1 – </w:t>
      </w:r>
      <w:r w:rsidRPr="00DE6791">
        <w:t>CBC with Differential</w:t>
      </w:r>
    </w:p>
    <w:p w:rsidR="00570BDA" w:rsidRPr="00DE6791" w:rsidRDefault="00570BDA" w:rsidP="00F12CF5">
      <w:pPr>
        <w:numPr>
          <w:ilvl w:val="0"/>
          <w:numId w:val="2"/>
        </w:numPr>
      </w:pPr>
      <w:r w:rsidRPr="00DE6791">
        <w:t xml:space="preserve">Table 2 – Chemistries </w:t>
      </w:r>
    </w:p>
    <w:p w:rsidR="00570BDA" w:rsidRPr="00DE6791" w:rsidRDefault="00570BDA" w:rsidP="00F12CF5">
      <w:pPr>
        <w:numPr>
          <w:ilvl w:val="0"/>
          <w:numId w:val="2"/>
        </w:numPr>
      </w:pPr>
      <w:r w:rsidRPr="00DE6791">
        <w:t>Table 3 – CSF</w:t>
      </w:r>
    </w:p>
    <w:p w:rsidR="00570BDA" w:rsidRPr="00DE6791" w:rsidRDefault="00570BDA" w:rsidP="00F12CF5">
      <w:pPr>
        <w:numPr>
          <w:ilvl w:val="0"/>
          <w:numId w:val="2"/>
        </w:numPr>
      </w:pPr>
      <w:r w:rsidRPr="00DE6791">
        <w:t>Table 4 – CSF Culture</w:t>
      </w:r>
    </w:p>
    <w:p w:rsidR="00570BDA" w:rsidRPr="00DE6791" w:rsidRDefault="00570BDA" w:rsidP="00F12CF5">
      <w:pPr>
        <w:numPr>
          <w:ilvl w:val="0"/>
          <w:numId w:val="2"/>
        </w:numPr>
      </w:pPr>
      <w:r w:rsidRPr="00DE6791">
        <w:t>Table 5 – Blood Tests</w:t>
      </w:r>
    </w:p>
    <w:p w:rsidR="00570BDA" w:rsidRPr="00DE6791" w:rsidRDefault="00570BDA" w:rsidP="00F12CF5">
      <w:pPr>
        <w:numPr>
          <w:ilvl w:val="0"/>
          <w:numId w:val="2"/>
        </w:numPr>
      </w:pPr>
      <w:r w:rsidRPr="00DE6791">
        <w:t>Table 6 –</w:t>
      </w:r>
      <w:r w:rsidR="00C81A01" w:rsidRPr="00DE6791">
        <w:t xml:space="preserve"> </w:t>
      </w:r>
      <w:r w:rsidRPr="00DE6791">
        <w:t>Blood Gas Tests</w:t>
      </w:r>
    </w:p>
    <w:p w:rsidR="00570BDA" w:rsidRPr="00DE6791" w:rsidRDefault="00570BDA" w:rsidP="00F12CF5">
      <w:pPr>
        <w:numPr>
          <w:ilvl w:val="0"/>
          <w:numId w:val="2"/>
        </w:numPr>
      </w:pPr>
      <w:r w:rsidRPr="00DE6791">
        <w:t>Table 7 – Urinalysis</w:t>
      </w:r>
    </w:p>
    <w:p w:rsidR="00570BDA" w:rsidRPr="00DE6791" w:rsidRDefault="00EF10BA" w:rsidP="00F12CF5">
      <w:pPr>
        <w:numPr>
          <w:ilvl w:val="0"/>
          <w:numId w:val="2"/>
        </w:numPr>
      </w:pPr>
      <w:r w:rsidRPr="00DE6791">
        <w:t>Table 8</w:t>
      </w:r>
      <w:r w:rsidR="00570BDA" w:rsidRPr="00DE6791">
        <w:t xml:space="preserve"> – Scalp Electroencephalogram</w:t>
      </w:r>
    </w:p>
    <w:p w:rsidR="00570BDA" w:rsidRPr="00DE6791" w:rsidRDefault="00EF10BA" w:rsidP="00F12CF5">
      <w:pPr>
        <w:numPr>
          <w:ilvl w:val="0"/>
          <w:numId w:val="2"/>
        </w:numPr>
      </w:pPr>
      <w:r w:rsidRPr="00DE6791">
        <w:t>Table 9</w:t>
      </w:r>
      <w:r w:rsidR="00570BDA" w:rsidRPr="00DE6791">
        <w:t xml:space="preserve"> – Immune Cell Subsets</w:t>
      </w:r>
    </w:p>
    <w:p w:rsidR="00570BDA" w:rsidRPr="00E35548" w:rsidRDefault="00C81A01" w:rsidP="00F12CF5">
      <w:r>
        <w:t>The list should be used in conjunction with the Lab</w:t>
      </w:r>
      <w:r w:rsidR="00DA6BBC">
        <w:t xml:space="preserve">oratory </w:t>
      </w:r>
      <w:r>
        <w:t xml:space="preserve">Tests and Tracking Case Report Form (CRF). </w:t>
      </w:r>
    </w:p>
    <w:p w:rsidR="006A6E1A" w:rsidRPr="00E35548" w:rsidRDefault="00570BDA" w:rsidP="008C2F46">
      <w:pPr>
        <w:jc w:val="center"/>
        <w:rPr>
          <w:rFonts w:ascii="Arial Narrow" w:hAnsi="Arial Narrow" w:cs="Arial"/>
          <w:b/>
        </w:rPr>
      </w:pPr>
      <w:r w:rsidRPr="00E35548">
        <w:rPr>
          <w:rFonts w:ascii="Arial Narrow" w:hAnsi="Arial Narrow" w:cs="Arial"/>
          <w:b/>
        </w:rPr>
        <w:br w:type="page"/>
      </w:r>
    </w:p>
    <w:p w:rsidR="00C13C8A" w:rsidRDefault="00C13C8A" w:rsidP="00C13C8A">
      <w:pPr>
        <w:pStyle w:val="Caption"/>
        <w:keepNext/>
      </w:pPr>
      <w:r>
        <w:lastRenderedPageBreak/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</w:t>
      </w:r>
      <w:r w:rsidRPr="00912B92">
        <w:t>CBC with Differential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6"/>
        <w:gridCol w:w="3913"/>
        <w:gridCol w:w="1097"/>
        <w:gridCol w:w="1647"/>
      </w:tblGrid>
      <w:tr w:rsidR="006A6E1A" w:rsidRPr="00E35548" w:rsidTr="00DE6791">
        <w:trPr>
          <w:cantSplit/>
          <w:tblHeader/>
        </w:trPr>
        <w:tc>
          <w:tcPr>
            <w:tcW w:w="3256" w:type="dxa"/>
            <w:tcBorders>
              <w:bottom w:val="single" w:sz="4" w:space="0" w:color="000000"/>
            </w:tcBorders>
            <w:shd w:val="clear" w:color="auto" w:fill="FFFFFF"/>
          </w:tcPr>
          <w:p w:rsidR="006A6E1A" w:rsidRPr="00DE6791" w:rsidRDefault="006A6E1A" w:rsidP="00C13C8A">
            <w:pPr>
              <w:jc w:val="center"/>
            </w:pPr>
            <w:r w:rsidRPr="00DE6791">
              <w:t>CDE</w:t>
            </w:r>
          </w:p>
        </w:tc>
        <w:tc>
          <w:tcPr>
            <w:tcW w:w="3913" w:type="dxa"/>
            <w:tcBorders>
              <w:bottom w:val="single" w:sz="4" w:space="0" w:color="000000"/>
            </w:tcBorders>
            <w:shd w:val="clear" w:color="auto" w:fill="FFFFFF"/>
          </w:tcPr>
          <w:p w:rsidR="006A6E1A" w:rsidRPr="00DE6791" w:rsidRDefault="006A6E1A" w:rsidP="00C13C8A">
            <w:pPr>
              <w:jc w:val="center"/>
            </w:pPr>
            <w:r w:rsidRPr="00DE6791">
              <w:t>General Comments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shd w:val="clear" w:color="auto" w:fill="FFFFFF"/>
          </w:tcPr>
          <w:p w:rsidR="006A6E1A" w:rsidRPr="00DE6791" w:rsidRDefault="006A6E1A" w:rsidP="00C13C8A">
            <w:pPr>
              <w:jc w:val="center"/>
            </w:pPr>
            <w:r w:rsidRPr="00DE6791">
              <w:t>Purpose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FFFFFF"/>
          </w:tcPr>
          <w:p w:rsidR="006A6E1A" w:rsidRPr="00DE6791" w:rsidRDefault="006A6E1A" w:rsidP="00C13C8A">
            <w:pPr>
              <w:jc w:val="center"/>
            </w:pPr>
            <w:r w:rsidRPr="00DE6791">
              <w:t>Classification</w:t>
            </w:r>
          </w:p>
        </w:tc>
      </w:tr>
      <w:tr w:rsidR="00E671C4" w:rsidRPr="00E35548" w:rsidTr="00FE5B08">
        <w:trPr>
          <w:cantSplit/>
        </w:trPr>
        <w:tc>
          <w:tcPr>
            <w:tcW w:w="3256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Absolute Basophils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Measured in %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671C4" w:rsidRPr="007B7834" w:rsidRDefault="007B7834" w:rsidP="00DE6791">
            <w:r>
              <w:t xml:space="preserve">Supplemental </w:t>
            </w:r>
          </w:p>
        </w:tc>
      </w:tr>
      <w:tr w:rsidR="00E671C4" w:rsidRPr="00E35548" w:rsidTr="00FE5B08">
        <w:trPr>
          <w:cantSplit/>
        </w:trPr>
        <w:tc>
          <w:tcPr>
            <w:tcW w:w="3256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Absolute Eosinophils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Measured in %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671C4" w:rsidRPr="007B7834" w:rsidRDefault="007B7834" w:rsidP="00DE6791">
            <w:r>
              <w:t xml:space="preserve">Supplemental </w:t>
            </w:r>
          </w:p>
        </w:tc>
      </w:tr>
      <w:tr w:rsidR="00E671C4" w:rsidRPr="00E35548" w:rsidTr="00FE5B08">
        <w:trPr>
          <w:cantSplit/>
        </w:trPr>
        <w:tc>
          <w:tcPr>
            <w:tcW w:w="3256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Absolute Lymphocytes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Measured in %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671C4" w:rsidRPr="007B7834" w:rsidRDefault="007B7834" w:rsidP="00DE6791">
            <w:r>
              <w:t>Supplemental</w:t>
            </w:r>
          </w:p>
        </w:tc>
      </w:tr>
      <w:tr w:rsidR="00E671C4" w:rsidRPr="00E35548" w:rsidTr="00FE5B08">
        <w:trPr>
          <w:cantSplit/>
        </w:trPr>
        <w:tc>
          <w:tcPr>
            <w:tcW w:w="3256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Absolute Monocytes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Measured in %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671C4" w:rsidRPr="007B7834" w:rsidRDefault="007B7834" w:rsidP="00DE6791">
            <w:r>
              <w:t xml:space="preserve">Supplemental </w:t>
            </w:r>
          </w:p>
        </w:tc>
      </w:tr>
      <w:tr w:rsidR="00E671C4" w:rsidRPr="00E35548" w:rsidTr="00FE5B08">
        <w:trPr>
          <w:cantSplit/>
        </w:trPr>
        <w:tc>
          <w:tcPr>
            <w:tcW w:w="3256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Absolute Neutrophils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Measured in %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671C4" w:rsidRPr="007B7834" w:rsidRDefault="007B7834" w:rsidP="00DE6791">
            <w:r>
              <w:t>Supplemental</w:t>
            </w:r>
          </w:p>
        </w:tc>
      </w:tr>
      <w:tr w:rsidR="00E671C4" w:rsidRPr="00E35548" w:rsidTr="00FE5B08">
        <w:trPr>
          <w:cantSplit/>
        </w:trPr>
        <w:tc>
          <w:tcPr>
            <w:tcW w:w="3256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Basophils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Measured in cells per microliter or %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671C4" w:rsidRPr="007B7834" w:rsidRDefault="007B7834" w:rsidP="00DE6791">
            <w:r>
              <w:t>Supplemental</w:t>
            </w:r>
          </w:p>
        </w:tc>
      </w:tr>
      <w:tr w:rsidR="007B7834" w:rsidRPr="00E35548" w:rsidTr="00FE5B08">
        <w:trPr>
          <w:cantSplit/>
        </w:trPr>
        <w:tc>
          <w:tcPr>
            <w:tcW w:w="3256" w:type="dxa"/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Blasts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Measured in cells per microliter or %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Supplemental</w:t>
            </w:r>
          </w:p>
        </w:tc>
      </w:tr>
      <w:tr w:rsidR="00E671C4" w:rsidRPr="00E35548" w:rsidTr="00FE5B08">
        <w:trPr>
          <w:cantSplit/>
        </w:trPr>
        <w:tc>
          <w:tcPr>
            <w:tcW w:w="3256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Eosinophils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Measured in cells per microliter or %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671C4" w:rsidRPr="007B7834" w:rsidRDefault="007B7834" w:rsidP="00DE6791">
            <w:r>
              <w:t>Supplemental</w:t>
            </w:r>
          </w:p>
        </w:tc>
      </w:tr>
      <w:tr w:rsidR="00E671C4" w:rsidRPr="00E35548" w:rsidTr="00FE5B08">
        <w:trPr>
          <w:cantSplit/>
        </w:trPr>
        <w:tc>
          <w:tcPr>
            <w:tcW w:w="3256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Hematocrit</w:t>
            </w:r>
            <w:r w:rsidR="00197AFA" w:rsidRPr="007B7834">
              <w:t xml:space="preserve"> (HCT)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Measured in cells/mcL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671C4" w:rsidRPr="007B7834" w:rsidRDefault="007B7834" w:rsidP="00DE6791">
            <w:r>
              <w:t>Supplemental</w:t>
            </w:r>
          </w:p>
        </w:tc>
      </w:tr>
      <w:tr w:rsidR="00E671C4" w:rsidRPr="00E35548" w:rsidTr="00FE5B08">
        <w:trPr>
          <w:cantSplit/>
        </w:trPr>
        <w:tc>
          <w:tcPr>
            <w:tcW w:w="3256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Hemoglobin</w:t>
            </w:r>
            <w:r w:rsidR="00197AFA" w:rsidRPr="007B7834">
              <w:t xml:space="preserve"> (HB)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Measured in cells/mcL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671C4" w:rsidRPr="007B7834" w:rsidRDefault="007B7834" w:rsidP="00DE6791">
            <w:r>
              <w:t>Supplemental</w:t>
            </w:r>
          </w:p>
        </w:tc>
      </w:tr>
      <w:tr w:rsidR="00D21C2D" w:rsidRPr="00E35548" w:rsidTr="00FE5B08">
        <w:trPr>
          <w:cantSplit/>
        </w:trPr>
        <w:tc>
          <w:tcPr>
            <w:tcW w:w="3256" w:type="dxa"/>
            <w:shd w:val="clear" w:color="auto" w:fill="FFFFFF"/>
            <w:vAlign w:val="center"/>
          </w:tcPr>
          <w:p w:rsidR="00D21C2D" w:rsidRPr="007B7834" w:rsidRDefault="00D21C2D" w:rsidP="00DE6791">
            <w:r w:rsidRPr="007B7834">
              <w:t>Hemoglobin electrophoresis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D21C2D" w:rsidRPr="007B7834" w:rsidRDefault="00D21C2D" w:rsidP="00DE6791">
            <w:r w:rsidRPr="007B7834">
              <w:t>Hb A, Hb A2, Hb F, Hb S, Hb C - measured in %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D21C2D" w:rsidRPr="007B7834" w:rsidRDefault="00D21C2D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D21C2D" w:rsidRPr="007B7834" w:rsidRDefault="00D21C2D" w:rsidP="00DE6791">
            <w:r w:rsidRPr="007B7834">
              <w:t>Supplemental</w:t>
            </w:r>
          </w:p>
        </w:tc>
      </w:tr>
      <w:tr w:rsidR="00E671C4" w:rsidRPr="00E35548" w:rsidTr="00FE5B08">
        <w:trPr>
          <w:cantSplit/>
        </w:trPr>
        <w:tc>
          <w:tcPr>
            <w:tcW w:w="3256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Lymphocytes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Measured in platelets per microliter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671C4" w:rsidRPr="007B7834" w:rsidRDefault="007B7834" w:rsidP="00DE6791">
            <w:r>
              <w:t>Supplemental</w:t>
            </w:r>
          </w:p>
        </w:tc>
      </w:tr>
      <w:tr w:rsidR="007B7834" w:rsidRPr="00E35548" w:rsidTr="00FE5B08">
        <w:trPr>
          <w:cantSplit/>
        </w:trPr>
        <w:tc>
          <w:tcPr>
            <w:tcW w:w="3256" w:type="dxa"/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Macrophages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Measured in cells per microliter or %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Supplemental</w:t>
            </w:r>
          </w:p>
        </w:tc>
      </w:tr>
      <w:tr w:rsidR="00D21C2D" w:rsidRPr="00E35548" w:rsidTr="00FE5B08">
        <w:trPr>
          <w:cantSplit/>
        </w:trPr>
        <w:tc>
          <w:tcPr>
            <w:tcW w:w="3256" w:type="dxa"/>
            <w:shd w:val="clear" w:color="auto" w:fill="FFFFFF"/>
            <w:vAlign w:val="center"/>
          </w:tcPr>
          <w:p w:rsidR="00D21C2D" w:rsidRPr="007B7834" w:rsidRDefault="00D21C2D" w:rsidP="00DE6791">
            <w:r w:rsidRPr="007B7834">
              <w:t>Mean corpuscular hemoglobin (MCH)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D21C2D" w:rsidRPr="007B7834" w:rsidRDefault="00D21C2D" w:rsidP="00DE6791">
            <w:r w:rsidRPr="007B7834">
              <w:t>Measured in gm/dL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D21C2D" w:rsidRPr="007B7834" w:rsidRDefault="00D21C2D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D21C2D" w:rsidRPr="007B7834" w:rsidRDefault="00D21C2D" w:rsidP="00DE6791">
            <w:r>
              <w:t>Supplemental</w:t>
            </w:r>
          </w:p>
        </w:tc>
      </w:tr>
      <w:tr w:rsidR="00E671C4" w:rsidRPr="00E35548" w:rsidTr="00FE5B08">
        <w:trPr>
          <w:cantSplit/>
        </w:trPr>
        <w:tc>
          <w:tcPr>
            <w:tcW w:w="3256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Mean corpuscular hemoglobin concentration (MCHC)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Measured in %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671C4" w:rsidRPr="007B7834" w:rsidRDefault="007B7834" w:rsidP="00DE6791">
            <w:r>
              <w:t xml:space="preserve">Supplemental </w:t>
            </w:r>
          </w:p>
        </w:tc>
      </w:tr>
      <w:tr w:rsidR="00E671C4" w:rsidRPr="00E35548" w:rsidTr="00FE5B08">
        <w:trPr>
          <w:cantSplit/>
        </w:trPr>
        <w:tc>
          <w:tcPr>
            <w:tcW w:w="3256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Mean corpuscular volume (MCV)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 xml:space="preserve">Measured in </w:t>
            </w:r>
            <w:r w:rsidR="00E844A4" w:rsidRPr="007B7834">
              <w:t>femtoliter (fL)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671C4" w:rsidRPr="007B7834" w:rsidRDefault="007B7834" w:rsidP="00DE6791">
            <w:r>
              <w:t>Supplemental</w:t>
            </w:r>
          </w:p>
        </w:tc>
      </w:tr>
      <w:tr w:rsidR="00E671C4" w:rsidRPr="00E35548" w:rsidTr="00FE5B08">
        <w:trPr>
          <w:cantSplit/>
        </w:trPr>
        <w:tc>
          <w:tcPr>
            <w:tcW w:w="3256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Mean platelet volume (MPV)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Measured in gm/dL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671C4" w:rsidRPr="007B7834" w:rsidRDefault="007B7834" w:rsidP="00DE6791">
            <w:r>
              <w:t>Supplemental</w:t>
            </w:r>
          </w:p>
        </w:tc>
      </w:tr>
      <w:tr w:rsidR="00D21C2D" w:rsidRPr="00E35548" w:rsidTr="00FE5B08">
        <w:trPr>
          <w:cantSplit/>
        </w:trPr>
        <w:tc>
          <w:tcPr>
            <w:tcW w:w="3256" w:type="dxa"/>
            <w:shd w:val="clear" w:color="auto" w:fill="FFFFFF"/>
            <w:vAlign w:val="center"/>
          </w:tcPr>
          <w:p w:rsidR="00D21C2D" w:rsidRPr="007B7834" w:rsidRDefault="00D21C2D" w:rsidP="00DE6791">
            <w:r w:rsidRPr="007B7834">
              <w:t>Metamylocytes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D21C2D" w:rsidRPr="007B7834" w:rsidRDefault="00D21C2D" w:rsidP="00DE6791">
            <w:r w:rsidRPr="007B7834">
              <w:t>Measured in cells per microliter or %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D21C2D" w:rsidRPr="007B7834" w:rsidRDefault="00D21C2D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D21C2D" w:rsidRPr="007B7834" w:rsidRDefault="00D21C2D" w:rsidP="00DE6791">
            <w:r w:rsidRPr="007B7834">
              <w:t>Supplemental</w:t>
            </w:r>
          </w:p>
        </w:tc>
      </w:tr>
      <w:tr w:rsidR="00D21C2D" w:rsidRPr="00E35548" w:rsidTr="00FE5B08">
        <w:trPr>
          <w:cantSplit/>
        </w:trPr>
        <w:tc>
          <w:tcPr>
            <w:tcW w:w="3256" w:type="dxa"/>
            <w:shd w:val="clear" w:color="auto" w:fill="FFFFFF"/>
            <w:vAlign w:val="center"/>
          </w:tcPr>
          <w:p w:rsidR="00D21C2D" w:rsidRPr="007B7834" w:rsidRDefault="00D21C2D" w:rsidP="00DE6791">
            <w:r w:rsidRPr="007B7834">
              <w:t>Monocytes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D21C2D" w:rsidRPr="007B7834" w:rsidRDefault="00D21C2D" w:rsidP="00DE6791">
            <w:r w:rsidRPr="007B7834">
              <w:t>Measured in cells per microliter or %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D21C2D" w:rsidRPr="007B7834" w:rsidRDefault="00D21C2D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D21C2D" w:rsidRPr="007B7834" w:rsidRDefault="00D21C2D" w:rsidP="00DE6791">
            <w:r>
              <w:t>Supplemental</w:t>
            </w:r>
          </w:p>
        </w:tc>
      </w:tr>
      <w:tr w:rsidR="007B7834" w:rsidRPr="00E35548" w:rsidTr="00FE5B08">
        <w:trPr>
          <w:cantSplit/>
        </w:trPr>
        <w:tc>
          <w:tcPr>
            <w:tcW w:w="3256" w:type="dxa"/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Myelocytes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Measured in cells per microliter or %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Supplemental</w:t>
            </w:r>
          </w:p>
        </w:tc>
      </w:tr>
      <w:tr w:rsidR="00D21C2D" w:rsidRPr="00E35548" w:rsidTr="00FE5B08">
        <w:trPr>
          <w:cantSplit/>
        </w:trPr>
        <w:tc>
          <w:tcPr>
            <w:tcW w:w="3256" w:type="dxa"/>
            <w:shd w:val="clear" w:color="auto" w:fill="FFFFFF"/>
            <w:vAlign w:val="center"/>
          </w:tcPr>
          <w:p w:rsidR="00D21C2D" w:rsidRPr="007B7834" w:rsidRDefault="00D21C2D" w:rsidP="00DE6791">
            <w:r w:rsidRPr="007B7834">
              <w:t>Neutrophils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D21C2D" w:rsidRPr="007B7834" w:rsidRDefault="00D21C2D" w:rsidP="00DE6791">
            <w:r w:rsidRPr="007B7834">
              <w:t>Measured in femtoliter (fL)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D21C2D" w:rsidRPr="007B7834" w:rsidRDefault="00D21C2D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D21C2D" w:rsidRPr="007B7834" w:rsidRDefault="00D21C2D" w:rsidP="00DE6791">
            <w:r>
              <w:t>Supplemental</w:t>
            </w:r>
          </w:p>
        </w:tc>
      </w:tr>
      <w:tr w:rsidR="00E671C4" w:rsidRPr="00E35548" w:rsidTr="00FE5B08">
        <w:trPr>
          <w:cantSplit/>
        </w:trPr>
        <w:tc>
          <w:tcPr>
            <w:tcW w:w="3256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lastRenderedPageBreak/>
              <w:t>Platelet count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 xml:space="preserve">Measured </w:t>
            </w:r>
            <w:r w:rsidR="00E844A4" w:rsidRPr="007B7834">
              <w:t>as a count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671C4" w:rsidRPr="007B7834" w:rsidRDefault="007B7834" w:rsidP="00DE6791">
            <w:r>
              <w:t>Supplemental</w:t>
            </w:r>
          </w:p>
        </w:tc>
      </w:tr>
      <w:tr w:rsidR="007B7834" w:rsidRPr="00E35548" w:rsidTr="00FE5B08">
        <w:trPr>
          <w:cantSplit/>
        </w:trPr>
        <w:tc>
          <w:tcPr>
            <w:tcW w:w="3256" w:type="dxa"/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Promyelocytes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Measured in cells per microliter or %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Supplemental</w:t>
            </w:r>
          </w:p>
        </w:tc>
      </w:tr>
      <w:tr w:rsidR="00E671C4" w:rsidRPr="00E35548" w:rsidTr="00FE5B08">
        <w:trPr>
          <w:cantSplit/>
        </w:trPr>
        <w:tc>
          <w:tcPr>
            <w:tcW w:w="3256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RBC Morphology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Measured in cells per microliter or %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671C4" w:rsidRPr="007B7834" w:rsidRDefault="007B7834" w:rsidP="00DE6791">
            <w:r>
              <w:t>Supplemental</w:t>
            </w:r>
          </w:p>
        </w:tc>
      </w:tr>
      <w:tr w:rsidR="00E671C4" w:rsidRPr="00E35548" w:rsidTr="00FE5B08">
        <w:trPr>
          <w:cantSplit/>
          <w:trHeight w:val="359"/>
        </w:trPr>
        <w:tc>
          <w:tcPr>
            <w:tcW w:w="3256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Red Blood Cell (RBC) Count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Measured in cells/mcL; for drug trials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671C4" w:rsidRPr="007B7834" w:rsidRDefault="007B7834" w:rsidP="00DE6791">
            <w:r>
              <w:t>Supplemental</w:t>
            </w:r>
          </w:p>
        </w:tc>
      </w:tr>
      <w:tr w:rsidR="007B7834" w:rsidRPr="00E35548" w:rsidTr="00FE5B08">
        <w:trPr>
          <w:cantSplit/>
        </w:trPr>
        <w:tc>
          <w:tcPr>
            <w:tcW w:w="325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Red blood cell distribution width (RDW)</w:t>
            </w:r>
          </w:p>
        </w:tc>
        <w:tc>
          <w:tcPr>
            <w:tcW w:w="391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Measured in %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Safety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Supplemental</w:t>
            </w:r>
          </w:p>
        </w:tc>
      </w:tr>
      <w:tr w:rsidR="007B7834" w:rsidRPr="00E35548" w:rsidTr="00FE5B08">
        <w:trPr>
          <w:cantSplit/>
        </w:trPr>
        <w:tc>
          <w:tcPr>
            <w:tcW w:w="325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Stab cells/Band cells/Band neutrophils</w:t>
            </w:r>
          </w:p>
        </w:tc>
        <w:tc>
          <w:tcPr>
            <w:tcW w:w="391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Measured in cells per microliter or %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Safety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Supplemental</w:t>
            </w:r>
          </w:p>
        </w:tc>
      </w:tr>
      <w:tr w:rsidR="007B7834" w:rsidRPr="00E35548" w:rsidTr="00FE5B08">
        <w:trPr>
          <w:cantSplit/>
        </w:trPr>
        <w:tc>
          <w:tcPr>
            <w:tcW w:w="325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WBC Morphology</w:t>
            </w:r>
          </w:p>
        </w:tc>
        <w:tc>
          <w:tcPr>
            <w:tcW w:w="391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Measured in cells per microliter or %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B7834" w:rsidRPr="007B7834" w:rsidRDefault="007B7834" w:rsidP="00DE6791">
            <w:r w:rsidRPr="007B7834">
              <w:t>Safety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B7834" w:rsidRPr="007B7834" w:rsidRDefault="007B7834" w:rsidP="00DE6791">
            <w:r>
              <w:t>Supplemental</w:t>
            </w:r>
          </w:p>
        </w:tc>
      </w:tr>
      <w:tr w:rsidR="00E671C4" w:rsidRPr="00E35548" w:rsidTr="00FE5B08">
        <w:trPr>
          <w:cantSplit/>
        </w:trPr>
        <w:tc>
          <w:tcPr>
            <w:tcW w:w="325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White Blood Cell (WBC) Count</w:t>
            </w:r>
          </w:p>
        </w:tc>
        <w:tc>
          <w:tcPr>
            <w:tcW w:w="391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Measured in cells/mcL; for drug trials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671C4" w:rsidRPr="007B7834" w:rsidRDefault="00E671C4" w:rsidP="00DE6791">
            <w:r w:rsidRPr="007B7834">
              <w:t>Safety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671C4" w:rsidRPr="007B7834" w:rsidRDefault="007B7834" w:rsidP="00DE6791">
            <w:r>
              <w:t xml:space="preserve">Supplemental </w:t>
            </w:r>
          </w:p>
        </w:tc>
      </w:tr>
    </w:tbl>
    <w:p w:rsidR="006A6E1A" w:rsidRPr="00E35548" w:rsidRDefault="006A6E1A" w:rsidP="000C6978">
      <w:pPr>
        <w:spacing w:after="0"/>
        <w:rPr>
          <w:rFonts w:ascii="Arial Narrow" w:hAnsi="Arial Narrow" w:cs="Arial"/>
        </w:rPr>
      </w:pPr>
    </w:p>
    <w:p w:rsidR="006A6E1A" w:rsidRPr="00E35548" w:rsidRDefault="008C2F46" w:rsidP="00D83127">
      <w:pPr>
        <w:spacing w:after="0"/>
        <w:jc w:val="center"/>
        <w:rPr>
          <w:rFonts w:ascii="Arial Narrow" w:hAnsi="Arial Narrow" w:cs="Arial"/>
          <w:b/>
        </w:rPr>
      </w:pPr>
      <w:r w:rsidRPr="00E35548">
        <w:rPr>
          <w:rFonts w:ascii="Arial Narrow" w:hAnsi="Arial Narrow" w:cs="Arial"/>
          <w:b/>
        </w:rPr>
        <w:br w:type="page"/>
      </w:r>
    </w:p>
    <w:p w:rsidR="00C13C8A" w:rsidRDefault="00C13C8A" w:rsidP="00C13C8A">
      <w:pPr>
        <w:pStyle w:val="Caption"/>
        <w:keepNext/>
      </w:pPr>
      <w:r>
        <w:lastRenderedPageBreak/>
        <w:t xml:space="preserve">Table </w:t>
      </w:r>
      <w:fldSimple w:instr=" SEQ Table \* ARABIC ">
        <w:r>
          <w:rPr>
            <w:noProof/>
          </w:rPr>
          <w:t>2</w:t>
        </w:r>
      </w:fldSimple>
      <w:r>
        <w:t xml:space="preserve"> </w:t>
      </w:r>
      <w:r w:rsidRPr="00D85ED9">
        <w:t>Chemistries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1"/>
        <w:gridCol w:w="3821"/>
        <w:gridCol w:w="1244"/>
        <w:gridCol w:w="1647"/>
      </w:tblGrid>
      <w:tr w:rsidR="006A6E1A" w:rsidRPr="00E35548" w:rsidTr="00DE6791">
        <w:trPr>
          <w:cantSplit/>
          <w:tblHeader/>
        </w:trPr>
        <w:tc>
          <w:tcPr>
            <w:tcW w:w="3201" w:type="dxa"/>
            <w:tcBorders>
              <w:bottom w:val="single" w:sz="4" w:space="0" w:color="000000"/>
            </w:tcBorders>
            <w:shd w:val="clear" w:color="auto" w:fill="FFFFFF"/>
          </w:tcPr>
          <w:p w:rsidR="006A6E1A" w:rsidRPr="00DE6791" w:rsidRDefault="006A6E1A" w:rsidP="00DE6791">
            <w:r w:rsidRPr="00DE6791">
              <w:t>CDE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FFFFFF"/>
          </w:tcPr>
          <w:p w:rsidR="006A6E1A" w:rsidRPr="00DE6791" w:rsidRDefault="006A6E1A" w:rsidP="00DE6791">
            <w:r w:rsidRPr="00DE6791">
              <w:t>General Comments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FFFFFF"/>
          </w:tcPr>
          <w:p w:rsidR="006A6E1A" w:rsidRPr="00DE6791" w:rsidRDefault="006A6E1A" w:rsidP="00DE6791">
            <w:r w:rsidRPr="00DE6791">
              <w:t>Purpose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FFFFFF"/>
          </w:tcPr>
          <w:p w:rsidR="006A6E1A" w:rsidRPr="00DE6791" w:rsidRDefault="006A6E1A" w:rsidP="00DE6791">
            <w:r w:rsidRPr="00DE6791">
              <w:t>Classification</w:t>
            </w:r>
          </w:p>
        </w:tc>
      </w:tr>
      <w:tr w:rsidR="006A6E1A" w:rsidRPr="00E35548" w:rsidTr="00FE5B08">
        <w:tc>
          <w:tcPr>
            <w:tcW w:w="3201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Alanine transaminase (ALT)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Measured in U/L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6A6E1A" w:rsidRPr="00E35548" w:rsidRDefault="00897C78" w:rsidP="00DE6791">
            <w:r>
              <w:t>Supplemental</w:t>
            </w:r>
          </w:p>
        </w:tc>
      </w:tr>
      <w:tr w:rsidR="006A6E1A" w:rsidRPr="00E35548" w:rsidTr="00FE5B08">
        <w:tc>
          <w:tcPr>
            <w:tcW w:w="3201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Albumin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Measured in g/dL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6A6E1A" w:rsidRPr="00E35548" w:rsidRDefault="00897C78" w:rsidP="00DE6791">
            <w:r>
              <w:t>Supplemental</w:t>
            </w:r>
          </w:p>
        </w:tc>
      </w:tr>
      <w:tr w:rsidR="006A6E1A" w:rsidRPr="00E35548" w:rsidTr="00FE5B08">
        <w:tc>
          <w:tcPr>
            <w:tcW w:w="3201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Alkaline phosphatase (ALP)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Measured in IU/L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6A6E1A" w:rsidRPr="00E35548" w:rsidRDefault="00897C78" w:rsidP="00DE6791">
            <w:r>
              <w:t>Supplemental</w:t>
            </w:r>
          </w:p>
        </w:tc>
      </w:tr>
      <w:tr w:rsidR="00897C78" w:rsidRPr="00E35548" w:rsidTr="00FE5B08">
        <w:tc>
          <w:tcPr>
            <w:tcW w:w="3201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Amylase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Measured in U/L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Supplemental</w:t>
            </w:r>
          </w:p>
        </w:tc>
      </w:tr>
      <w:tr w:rsidR="00897C78" w:rsidRPr="00E35548" w:rsidTr="00FE5B08">
        <w:tc>
          <w:tcPr>
            <w:tcW w:w="3201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Anion gap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Ratio measured in mEq/L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Supplemental</w:t>
            </w:r>
          </w:p>
        </w:tc>
      </w:tr>
      <w:tr w:rsidR="006A6E1A" w:rsidRPr="00E35548" w:rsidTr="00FE5B08">
        <w:tc>
          <w:tcPr>
            <w:tcW w:w="3201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Aspartate transaminase (AST)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Measured in IU/L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6A6E1A" w:rsidRPr="00E35548" w:rsidRDefault="00897C78" w:rsidP="00DE6791">
            <w:r>
              <w:t>Supplemental</w:t>
            </w:r>
          </w:p>
        </w:tc>
      </w:tr>
      <w:tr w:rsidR="006A6E1A" w:rsidRPr="00E35548" w:rsidTr="00FE5B08">
        <w:tc>
          <w:tcPr>
            <w:tcW w:w="3201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Bicarbonate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Measured in mmol/L (bicarbonate)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6A6E1A" w:rsidRPr="00E35548" w:rsidRDefault="00897C78" w:rsidP="00DE6791">
            <w:r>
              <w:t>Supplemental</w:t>
            </w:r>
          </w:p>
        </w:tc>
      </w:tr>
      <w:tr w:rsidR="00897C78" w:rsidRPr="00E35548" w:rsidTr="00FE5B08">
        <w:tc>
          <w:tcPr>
            <w:tcW w:w="3201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Bilirubin, direct (conjugated)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Measured in mg/dL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Supplemental</w:t>
            </w:r>
          </w:p>
        </w:tc>
      </w:tr>
      <w:tr w:rsidR="006A6E1A" w:rsidRPr="00E35548" w:rsidTr="00FE5B08">
        <w:tc>
          <w:tcPr>
            <w:tcW w:w="3201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Bilirubin, total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Measured in mg/dL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6A6E1A" w:rsidRPr="00E35548" w:rsidRDefault="00897C78" w:rsidP="00DE6791">
            <w:r>
              <w:t>Supplemental</w:t>
            </w:r>
          </w:p>
        </w:tc>
      </w:tr>
      <w:tr w:rsidR="006A6E1A" w:rsidRPr="00E35548" w:rsidTr="00FE5B08">
        <w:tc>
          <w:tcPr>
            <w:tcW w:w="3201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Blood urea nitrogen (BUN)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Measured in mg/dL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6A6E1A" w:rsidRPr="00E35548" w:rsidRDefault="00897C78" w:rsidP="00DE6791">
            <w:r>
              <w:t>Supplemental</w:t>
            </w:r>
          </w:p>
        </w:tc>
      </w:tr>
      <w:tr w:rsidR="006A6E1A" w:rsidRPr="00E35548" w:rsidTr="00FE5B08">
        <w:tc>
          <w:tcPr>
            <w:tcW w:w="3201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Calcium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Measured in mg/dL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6A6E1A" w:rsidRPr="00E35548" w:rsidRDefault="00897C78" w:rsidP="00DE6791">
            <w:r>
              <w:t>Supplemental</w:t>
            </w:r>
          </w:p>
        </w:tc>
      </w:tr>
      <w:tr w:rsidR="00897C78" w:rsidRPr="00E35548" w:rsidTr="00FE5B08">
        <w:tc>
          <w:tcPr>
            <w:tcW w:w="3201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Carbon dioxide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Measured in mEq/L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Supplemental</w:t>
            </w:r>
          </w:p>
        </w:tc>
      </w:tr>
      <w:tr w:rsidR="006A6E1A" w:rsidRPr="00E35548" w:rsidTr="00FE5B08">
        <w:tc>
          <w:tcPr>
            <w:tcW w:w="3201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Chloride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Measured in mEq/L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6A6E1A" w:rsidRPr="00E35548" w:rsidRDefault="00897C78" w:rsidP="00DE6791">
            <w:r>
              <w:t>Supplemental</w:t>
            </w:r>
          </w:p>
        </w:tc>
      </w:tr>
      <w:tr w:rsidR="006A6E1A" w:rsidRPr="00E35548" w:rsidTr="00FE5B08">
        <w:tc>
          <w:tcPr>
            <w:tcW w:w="3201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Creatine kinase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Measured in IU/L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6A6E1A" w:rsidRPr="00E35548" w:rsidRDefault="00D83127" w:rsidP="00DE6791">
            <w:r w:rsidRPr="00E35548">
              <w:t>Diagnosis/</w:t>
            </w:r>
          </w:p>
          <w:p w:rsidR="00D83127" w:rsidRPr="00E35548" w:rsidRDefault="00D83127" w:rsidP="00DE6791">
            <w:r w:rsidRPr="00E35548">
              <w:t>Outcome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6A6E1A" w:rsidRPr="00E35548" w:rsidRDefault="00897C78" w:rsidP="00DE6791">
            <w:r>
              <w:t>Supplemental</w:t>
            </w:r>
          </w:p>
        </w:tc>
      </w:tr>
      <w:tr w:rsidR="00897C78" w:rsidRPr="00E35548" w:rsidTr="00FE5B08">
        <w:tc>
          <w:tcPr>
            <w:tcW w:w="3201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Ferritin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Measured in ng/mL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Supplemental</w:t>
            </w:r>
          </w:p>
        </w:tc>
      </w:tr>
      <w:tr w:rsidR="00D21C2D" w:rsidRPr="00E35548" w:rsidTr="00FE5B08">
        <w:tc>
          <w:tcPr>
            <w:tcW w:w="3201" w:type="dxa"/>
            <w:shd w:val="clear" w:color="auto" w:fill="FFFFFF"/>
            <w:vAlign w:val="center"/>
          </w:tcPr>
          <w:p w:rsidR="00D21C2D" w:rsidRPr="00E35548" w:rsidRDefault="00D21C2D" w:rsidP="00DE6791">
            <w:r w:rsidRPr="00E35548">
              <w:t>Gamma glutamyl transferase (GGT)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D21C2D" w:rsidRPr="00E35548" w:rsidRDefault="00D21C2D" w:rsidP="00DE6791">
            <w:r w:rsidRPr="00E35548">
              <w:t>Measured in IU/L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D21C2D" w:rsidRPr="00E35548" w:rsidRDefault="00D21C2D" w:rsidP="00DE6791">
            <w:r w:rsidRPr="00E35548">
              <w:t>Diagnosis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D21C2D" w:rsidRPr="00E35548" w:rsidRDefault="00D21C2D" w:rsidP="00DE6791">
            <w:r>
              <w:t>Supplemental</w:t>
            </w:r>
          </w:p>
        </w:tc>
      </w:tr>
      <w:tr w:rsidR="00897C78" w:rsidRPr="00E35548" w:rsidTr="00FE5B08">
        <w:tc>
          <w:tcPr>
            <w:tcW w:w="3201" w:type="dxa"/>
            <w:shd w:val="clear" w:color="auto" w:fill="FFFFFF"/>
            <w:vAlign w:val="center"/>
          </w:tcPr>
          <w:p w:rsidR="00897C78" w:rsidRPr="00E35548" w:rsidRDefault="00897C78" w:rsidP="00DE6791">
            <w:r>
              <w:t>Glucose, fasting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Measured in mg/dL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897C78" w:rsidRPr="00E35548" w:rsidRDefault="00897C78" w:rsidP="00DE6791">
            <w:r>
              <w:t>Supplemental</w:t>
            </w:r>
          </w:p>
        </w:tc>
      </w:tr>
      <w:tr w:rsidR="00E671C4" w:rsidRPr="00E35548" w:rsidTr="00FE5B08">
        <w:tc>
          <w:tcPr>
            <w:tcW w:w="3201" w:type="dxa"/>
            <w:shd w:val="clear" w:color="auto" w:fill="FFFFFF"/>
            <w:vAlign w:val="center"/>
          </w:tcPr>
          <w:p w:rsidR="00E671C4" w:rsidRPr="00E35548" w:rsidRDefault="00E671C4" w:rsidP="00DE6791">
            <w:r w:rsidRPr="00E35548">
              <w:t>Glucose</w:t>
            </w:r>
            <w:r w:rsidR="000048D6">
              <w:t>, random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E671C4" w:rsidRPr="00E35548" w:rsidRDefault="00E671C4" w:rsidP="00DE6791">
            <w:r w:rsidRPr="00E35548">
              <w:t>Measured in mg/dL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E671C4" w:rsidRPr="00E35548" w:rsidRDefault="00E671C4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671C4" w:rsidRPr="00E35548" w:rsidRDefault="00897C78" w:rsidP="00DE6791">
            <w:r>
              <w:t>Supplemental</w:t>
            </w:r>
          </w:p>
        </w:tc>
      </w:tr>
      <w:tr w:rsidR="00897C78" w:rsidRPr="00E35548" w:rsidTr="00FE5B08">
        <w:tc>
          <w:tcPr>
            <w:tcW w:w="3201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Ionized Calcium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Measured in mg/dL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Supplemental</w:t>
            </w:r>
          </w:p>
        </w:tc>
      </w:tr>
      <w:tr w:rsidR="00897C78" w:rsidRPr="00E35548" w:rsidTr="00FE5B08">
        <w:tc>
          <w:tcPr>
            <w:tcW w:w="3201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Iron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Measured in mcg/dL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Supplemental</w:t>
            </w:r>
          </w:p>
        </w:tc>
      </w:tr>
      <w:tr w:rsidR="00D83127" w:rsidRPr="00E35548" w:rsidTr="00FE5B08">
        <w:tc>
          <w:tcPr>
            <w:tcW w:w="3201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Lactate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Measured in IU/L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Diagnosis</w:t>
            </w:r>
            <w:r w:rsidR="00897C78">
              <w:t>/ 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D83127" w:rsidRPr="00E35548" w:rsidRDefault="00897C78" w:rsidP="00DE6791">
            <w:r>
              <w:t>Supplemental</w:t>
            </w:r>
          </w:p>
        </w:tc>
      </w:tr>
      <w:tr w:rsidR="00897C78" w:rsidRPr="00E35548" w:rsidTr="00FE5B08">
        <w:tc>
          <w:tcPr>
            <w:tcW w:w="3201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lastRenderedPageBreak/>
              <w:t>Lactate dehydrogenase (LDH)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Measured in IU/L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Supplemental</w:t>
            </w:r>
          </w:p>
        </w:tc>
      </w:tr>
      <w:tr w:rsidR="00897C78" w:rsidRPr="00E35548" w:rsidTr="00FE5B08">
        <w:tc>
          <w:tcPr>
            <w:tcW w:w="3201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Lipase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Measured in IU/L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Supplemental</w:t>
            </w:r>
          </w:p>
        </w:tc>
      </w:tr>
      <w:tr w:rsidR="00D83127" w:rsidRPr="00E35548" w:rsidTr="00FE5B08">
        <w:tc>
          <w:tcPr>
            <w:tcW w:w="3201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Magnesium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Measured in mg/dL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Diagnosis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D83127" w:rsidRPr="00E35548" w:rsidRDefault="00897C78" w:rsidP="00DE6791">
            <w:r>
              <w:t>Supplemental</w:t>
            </w:r>
          </w:p>
        </w:tc>
      </w:tr>
      <w:tr w:rsidR="00897C78" w:rsidRPr="00E35548" w:rsidTr="00FE5B08">
        <w:tc>
          <w:tcPr>
            <w:tcW w:w="3201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Phosphate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Measured in mg/dL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Supplemental</w:t>
            </w:r>
          </w:p>
        </w:tc>
      </w:tr>
      <w:tr w:rsidR="00D83127" w:rsidRPr="00E35548" w:rsidTr="00FE5B08">
        <w:tc>
          <w:tcPr>
            <w:tcW w:w="3201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Potassium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Measured in mEq/L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Safety/</w:t>
            </w:r>
          </w:p>
          <w:p w:rsidR="00D83127" w:rsidRPr="00E35548" w:rsidRDefault="00D83127" w:rsidP="00DE6791">
            <w:r w:rsidRPr="00E35548">
              <w:t>Diagnosis/</w:t>
            </w:r>
          </w:p>
          <w:p w:rsidR="00D83127" w:rsidRPr="00E35548" w:rsidRDefault="00D83127" w:rsidP="00DE6791">
            <w:r w:rsidRPr="00E35548">
              <w:t>Outcome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D83127" w:rsidRPr="00E35548" w:rsidRDefault="00897C78" w:rsidP="00DE6791">
            <w:r>
              <w:t>Supplemental</w:t>
            </w:r>
          </w:p>
        </w:tc>
      </w:tr>
      <w:tr w:rsidR="00897C78" w:rsidRPr="00E35548" w:rsidTr="00FE5B08">
        <w:tc>
          <w:tcPr>
            <w:tcW w:w="3201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Pre-Albumin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Measured in g/dL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Supplemental</w:t>
            </w:r>
          </w:p>
        </w:tc>
      </w:tr>
      <w:tr w:rsidR="00D83127" w:rsidRPr="00E35548" w:rsidTr="00FE5B08">
        <w:tc>
          <w:tcPr>
            <w:tcW w:w="3201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Serum creatinine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Measured in mg/dL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D83127" w:rsidRPr="00E35548" w:rsidRDefault="00897C78" w:rsidP="00DE6791">
            <w:r>
              <w:t>Supplemental</w:t>
            </w:r>
          </w:p>
        </w:tc>
      </w:tr>
      <w:tr w:rsidR="00D83127" w:rsidRPr="00E35548" w:rsidTr="00FE5B08">
        <w:trPr>
          <w:trHeight w:val="152"/>
        </w:trPr>
        <w:tc>
          <w:tcPr>
            <w:tcW w:w="3201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Sodium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Measured in mEq/L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D83127" w:rsidRPr="00E35548" w:rsidRDefault="00897C78" w:rsidP="00DE6791">
            <w:r>
              <w:t>Supplemental</w:t>
            </w:r>
          </w:p>
        </w:tc>
      </w:tr>
      <w:tr w:rsidR="00897C78" w:rsidRPr="00E35548" w:rsidTr="00FE5B08">
        <w:tc>
          <w:tcPr>
            <w:tcW w:w="32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Total Iron Binding Capacity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Measured in mcg/dL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Safety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Supplemental</w:t>
            </w:r>
          </w:p>
        </w:tc>
      </w:tr>
      <w:tr w:rsidR="00D83127" w:rsidRPr="00E35548" w:rsidTr="00FE5B08">
        <w:tc>
          <w:tcPr>
            <w:tcW w:w="32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Total Protein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Measured in g/dL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Safety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83127" w:rsidRPr="00E35548" w:rsidRDefault="00897C78" w:rsidP="00DE6791">
            <w:r>
              <w:t>Supplemental</w:t>
            </w:r>
          </w:p>
        </w:tc>
      </w:tr>
      <w:tr w:rsidR="00897C78" w:rsidRPr="00E35548" w:rsidTr="00FE5B08">
        <w:tc>
          <w:tcPr>
            <w:tcW w:w="32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Urate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Measured in μmol/L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Safety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Supplemental</w:t>
            </w:r>
          </w:p>
        </w:tc>
      </w:tr>
      <w:tr w:rsidR="00897C78" w:rsidRPr="00E35548" w:rsidTr="00FE5B08">
        <w:tc>
          <w:tcPr>
            <w:tcW w:w="32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Urea-N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Measured in mmol/L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Safety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7C78" w:rsidRPr="00E35548" w:rsidRDefault="00897C78" w:rsidP="00DE6791">
            <w:r w:rsidRPr="00E35548">
              <w:t>Supplemental</w:t>
            </w:r>
          </w:p>
        </w:tc>
      </w:tr>
      <w:tr w:rsidR="003A490E" w:rsidRPr="00E35548" w:rsidTr="00FE5B08">
        <w:tc>
          <w:tcPr>
            <w:tcW w:w="32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490E" w:rsidRPr="00E35548" w:rsidRDefault="003A490E" w:rsidP="00DE6791">
            <w:r>
              <w:t>Vitamin D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490E" w:rsidRPr="00E35548" w:rsidRDefault="003A490E" w:rsidP="00DE6791">
            <w:r>
              <w:t>Measured in ng/mL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490E" w:rsidRPr="00E35548" w:rsidRDefault="003A490E" w:rsidP="00DE6791">
            <w:r>
              <w:t>Safety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490E" w:rsidRPr="00E35548" w:rsidRDefault="00897C78" w:rsidP="00DE6791">
            <w:r>
              <w:t xml:space="preserve">Supplemental </w:t>
            </w:r>
          </w:p>
        </w:tc>
      </w:tr>
    </w:tbl>
    <w:p w:rsidR="006A6E1A" w:rsidRPr="00E35548" w:rsidRDefault="006A6E1A" w:rsidP="000C6978">
      <w:pPr>
        <w:spacing w:after="0"/>
        <w:rPr>
          <w:rFonts w:ascii="Arial Narrow" w:hAnsi="Arial Narrow" w:cs="Arial"/>
        </w:rPr>
      </w:pPr>
    </w:p>
    <w:p w:rsidR="00F12CF5" w:rsidRDefault="008C2F46" w:rsidP="00F12CF5">
      <w:pPr>
        <w:pStyle w:val="Caption"/>
      </w:pPr>
      <w:r w:rsidRPr="00E35548">
        <w:rPr>
          <w:rFonts w:ascii="Arial Narrow" w:hAnsi="Arial Narrow" w:cs="Arial"/>
        </w:rPr>
        <w:br w:type="page"/>
      </w:r>
    </w:p>
    <w:p w:rsidR="00C13C8A" w:rsidRDefault="00C13C8A" w:rsidP="00C13C8A">
      <w:pPr>
        <w:pStyle w:val="Caption"/>
        <w:keepNext/>
      </w:pPr>
      <w:r>
        <w:lastRenderedPageBreak/>
        <w:t xml:space="preserve">Table </w:t>
      </w:r>
      <w:fldSimple w:instr=" SEQ Table \* ARABIC ">
        <w:r>
          <w:rPr>
            <w:noProof/>
          </w:rPr>
          <w:t>3</w:t>
        </w:r>
      </w:fldSimple>
      <w:r>
        <w:t xml:space="preserve"> </w:t>
      </w:r>
      <w:r w:rsidRPr="00D444B2">
        <w:t>CSF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5"/>
        <w:gridCol w:w="3807"/>
        <w:gridCol w:w="1244"/>
        <w:gridCol w:w="1647"/>
      </w:tblGrid>
      <w:tr w:rsidR="006A6E1A" w:rsidRPr="00E35548" w:rsidTr="00DE6791">
        <w:trPr>
          <w:cantSplit/>
          <w:tblHeader/>
        </w:trPr>
        <w:tc>
          <w:tcPr>
            <w:tcW w:w="3215" w:type="dxa"/>
            <w:tcBorders>
              <w:bottom w:val="single" w:sz="4" w:space="0" w:color="000000"/>
            </w:tcBorders>
            <w:shd w:val="clear" w:color="auto" w:fill="FFFFFF"/>
          </w:tcPr>
          <w:p w:rsidR="006A6E1A" w:rsidRPr="00DE6791" w:rsidRDefault="006A6E1A" w:rsidP="00DE6791">
            <w:r w:rsidRPr="00DE6791">
              <w:t>CDE</w:t>
            </w:r>
          </w:p>
        </w:tc>
        <w:tc>
          <w:tcPr>
            <w:tcW w:w="3807" w:type="dxa"/>
            <w:tcBorders>
              <w:bottom w:val="single" w:sz="4" w:space="0" w:color="000000"/>
            </w:tcBorders>
            <w:shd w:val="clear" w:color="auto" w:fill="FFFFFF"/>
          </w:tcPr>
          <w:p w:rsidR="006A6E1A" w:rsidRPr="00DE6791" w:rsidRDefault="006A6E1A" w:rsidP="00DE6791">
            <w:r w:rsidRPr="00DE6791">
              <w:t>General Comments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FFFFFF"/>
          </w:tcPr>
          <w:p w:rsidR="006A6E1A" w:rsidRPr="00DE6791" w:rsidRDefault="006A6E1A" w:rsidP="00DE6791">
            <w:r w:rsidRPr="00DE6791">
              <w:t>Purpose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FFFFFF"/>
          </w:tcPr>
          <w:p w:rsidR="006A6E1A" w:rsidRPr="00DE6791" w:rsidRDefault="006A6E1A" w:rsidP="00DE6791">
            <w:r w:rsidRPr="00DE6791">
              <w:t>Classification</w:t>
            </w:r>
          </w:p>
        </w:tc>
      </w:tr>
      <w:tr w:rsidR="00D21C2D" w:rsidRPr="00E35548" w:rsidTr="00DE6791">
        <w:trPr>
          <w:cantSplit/>
        </w:trPr>
        <w:tc>
          <w:tcPr>
            <w:tcW w:w="3215" w:type="dxa"/>
            <w:shd w:val="clear" w:color="auto" w:fill="FFFFFF"/>
            <w:vAlign w:val="center"/>
          </w:tcPr>
          <w:p w:rsidR="00D21C2D" w:rsidRPr="00E35548" w:rsidRDefault="00D21C2D" w:rsidP="00DE6791">
            <w:r w:rsidRPr="00E35548">
              <w:t>Albumin, CSF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D21C2D" w:rsidRPr="00E35548" w:rsidRDefault="00D21C2D" w:rsidP="00DE6791">
            <w:r w:rsidRPr="00E35548">
              <w:t>Measured in mg/dL. Major CSF protein component. Originates from blood.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D21C2D" w:rsidRPr="00E35548" w:rsidRDefault="00D21C2D" w:rsidP="00DE6791">
            <w:r w:rsidRPr="00E35548">
              <w:t>Diagnosis/ 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D21C2D" w:rsidRPr="00E35548" w:rsidRDefault="00D21C2D" w:rsidP="00DE6791">
            <w:r w:rsidRPr="00E35548">
              <w:t>Supplemental</w:t>
            </w:r>
          </w:p>
        </w:tc>
      </w:tr>
      <w:tr w:rsidR="00E91B78" w:rsidRPr="00E35548" w:rsidTr="00DE6791">
        <w:trPr>
          <w:cantSplit/>
        </w:trPr>
        <w:tc>
          <w:tcPr>
            <w:tcW w:w="3215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Albumin index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Measured in mg/dL. CSF to serum albumin ratio, x100. Reflects BBB permeability.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Diagnosis/ 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Supplemental</w:t>
            </w:r>
          </w:p>
        </w:tc>
      </w:tr>
      <w:tr w:rsidR="006A6E1A" w:rsidRPr="00E35548" w:rsidTr="00DE6791">
        <w:trPr>
          <w:cantSplit/>
        </w:trPr>
        <w:tc>
          <w:tcPr>
            <w:tcW w:w="3215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Cell count, CSF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Measured in cells/uL</w:t>
            </w:r>
            <w:r w:rsidR="009C0DE9" w:rsidRPr="00E35548">
              <w:t>. WBC components. Predominantly mononuclears (lymphocytes, monocytes) but can also i</w:t>
            </w:r>
            <w:r w:rsidR="00BC6707" w:rsidRPr="00E35548">
              <w:t>nclude neutrophils, eosinophils</w:t>
            </w:r>
            <w:r w:rsidR="009C0DE9" w:rsidRPr="00E35548">
              <w:t>, plasma cells and other cells.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6A6E1A" w:rsidRPr="00E35548" w:rsidRDefault="008C2F46" w:rsidP="00DE6791">
            <w:r w:rsidRPr="00E35548">
              <w:t>Diagnosis/ 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6A6E1A" w:rsidRPr="00E35548" w:rsidRDefault="00E91B78" w:rsidP="00DE6791">
            <w:r>
              <w:t>Supplemental</w:t>
            </w:r>
          </w:p>
        </w:tc>
      </w:tr>
      <w:tr w:rsidR="00E91B78" w:rsidRPr="00E35548" w:rsidTr="00DE6791">
        <w:trPr>
          <w:cantSplit/>
        </w:trPr>
        <w:tc>
          <w:tcPr>
            <w:tcW w:w="3215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CSF lactate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Measured in mmol/L. CSF lactic acid level. Increased with tissue acidosis, anaerobic metabolism.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Diagnosis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Supplemental</w:t>
            </w:r>
          </w:p>
        </w:tc>
      </w:tr>
      <w:tr w:rsidR="00E91B78" w:rsidRPr="00E35548" w:rsidTr="00DE6791">
        <w:trPr>
          <w:cantSplit/>
        </w:trPr>
        <w:tc>
          <w:tcPr>
            <w:tcW w:w="3215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CSF myelin basic protein (MBP)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 Quantitative measure of detectable MBP like material in CSF.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Diagnosis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Supplemental</w:t>
            </w:r>
          </w:p>
        </w:tc>
      </w:tr>
      <w:tr w:rsidR="00E91B78" w:rsidRPr="00E35548" w:rsidTr="00DE6791">
        <w:trPr>
          <w:cantSplit/>
        </w:trPr>
        <w:tc>
          <w:tcPr>
            <w:tcW w:w="3215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CSF PCR for viruses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 Virus nucleic acid (DNA or RNA) detection in CSF.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Outcome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Supplemental</w:t>
            </w:r>
          </w:p>
        </w:tc>
      </w:tr>
      <w:tr w:rsidR="00E91B78" w:rsidRPr="00E35548" w:rsidTr="00DE6791">
        <w:trPr>
          <w:cantSplit/>
        </w:trPr>
        <w:tc>
          <w:tcPr>
            <w:tcW w:w="3215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Cytopathology, CSF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 Specialized technique to collect CSF cells with preserved morphology; used to detect malignant cells.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Diagnosis/ 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Supplemental</w:t>
            </w:r>
          </w:p>
        </w:tc>
      </w:tr>
      <w:tr w:rsidR="00E91B78" w:rsidRPr="00E35548" w:rsidTr="00DE6791">
        <w:trPr>
          <w:cantSplit/>
        </w:trPr>
        <w:tc>
          <w:tcPr>
            <w:tcW w:w="3215" w:type="dxa"/>
            <w:shd w:val="clear" w:color="auto" w:fill="FFFFFF"/>
            <w:vAlign w:val="center"/>
          </w:tcPr>
          <w:p w:rsidR="00E91B78" w:rsidRPr="00E35548" w:rsidRDefault="00E91B78" w:rsidP="00DE6791">
            <w:r>
              <w:t>Differential, CSF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Measured in cells/uL.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E91B78" w:rsidRDefault="00E91B78" w:rsidP="00DE6791">
            <w:r>
              <w:t>Diagnosis/</w:t>
            </w:r>
          </w:p>
          <w:p w:rsidR="00E91B78" w:rsidRPr="00E35548" w:rsidRDefault="00E91B78" w:rsidP="00DE6791">
            <w:r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91B78" w:rsidRPr="00E35548" w:rsidRDefault="00E91B78" w:rsidP="00DE6791">
            <w:r>
              <w:t>Supplemental</w:t>
            </w:r>
          </w:p>
        </w:tc>
      </w:tr>
      <w:tr w:rsidR="00E91B78" w:rsidRPr="00E35548" w:rsidTr="00DE6791">
        <w:trPr>
          <w:cantSplit/>
        </w:trPr>
        <w:tc>
          <w:tcPr>
            <w:tcW w:w="3215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Electrophoresis, Protein, CSF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Measured in mg/dL. Proteins are separated by electrophoresis to identify different fractions.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 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Supplemental</w:t>
            </w:r>
          </w:p>
        </w:tc>
      </w:tr>
      <w:tr w:rsidR="00D83127" w:rsidRPr="00E35548" w:rsidTr="00DE6791">
        <w:trPr>
          <w:cantSplit/>
          <w:trHeight w:val="962"/>
        </w:trPr>
        <w:tc>
          <w:tcPr>
            <w:tcW w:w="3215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Glucose, CSF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Measured in mg/dL. Measures glucose level in CSF; dependent on blood level (normally 60 to 80% of blood level)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Outcome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D83127" w:rsidRPr="00E35548" w:rsidRDefault="00E91B78" w:rsidP="00DE6791">
            <w:r>
              <w:t>Supplemental</w:t>
            </w:r>
          </w:p>
        </w:tc>
      </w:tr>
      <w:tr w:rsidR="00E91B78" w:rsidRPr="00E35548" w:rsidTr="00DE6791">
        <w:trPr>
          <w:cantSplit/>
        </w:trPr>
        <w:tc>
          <w:tcPr>
            <w:tcW w:w="321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lastRenderedPageBreak/>
              <w:t>IgG, CSF</w:t>
            </w:r>
          </w:p>
        </w:tc>
        <w:tc>
          <w:tcPr>
            <w:tcW w:w="380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Measured in mg/dL. Quantitative IgG level in CSF.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Diagnosis/ Safety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Supplemental</w:t>
            </w:r>
          </w:p>
        </w:tc>
      </w:tr>
      <w:tr w:rsidR="00E91B78" w:rsidRPr="00E35548" w:rsidTr="00DE6791">
        <w:trPr>
          <w:cantSplit/>
        </w:trPr>
        <w:tc>
          <w:tcPr>
            <w:tcW w:w="321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IgG Index, CSF</w:t>
            </w:r>
          </w:p>
        </w:tc>
        <w:tc>
          <w:tcPr>
            <w:tcW w:w="380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Measured in mg/dL. Measures intrathecal IgG production. Derived from ratio of CSF IgG to CSF albumin compared to serum IgG to serum albumin ratio (quantitative abnormality).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Diagnosis/ Safety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Supplemental</w:t>
            </w:r>
          </w:p>
        </w:tc>
      </w:tr>
      <w:tr w:rsidR="00D83127" w:rsidRPr="00E35548" w:rsidTr="00DE6791">
        <w:trPr>
          <w:cantSplit/>
        </w:trPr>
        <w:tc>
          <w:tcPr>
            <w:tcW w:w="3215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Lyme Disease Ab, CSF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Positive; Negative. Immunoglobulin reactivity to B Burgdorferi. Measured by ELISA and/or Western blot.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Diagnosis/ 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Supplemental</w:t>
            </w:r>
          </w:p>
        </w:tc>
      </w:tr>
      <w:tr w:rsidR="00E91B78" w:rsidRPr="00E35548" w:rsidTr="00DE6791">
        <w:trPr>
          <w:cantSplit/>
        </w:trPr>
        <w:tc>
          <w:tcPr>
            <w:tcW w:w="3215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Protein, CSF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Measured in mg/dL. Measures total protein level in CSF predominantly albumin; reflects serum proteins with trace CNS components and intrathecal modified components.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E91B78" w:rsidRPr="00E35548" w:rsidRDefault="00E91B78" w:rsidP="00DE6791">
            <w:r w:rsidRPr="00E35548">
              <w:t>Outcome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91B78" w:rsidRPr="00E35548" w:rsidRDefault="00E91B78" w:rsidP="00DE6791">
            <w:r>
              <w:t xml:space="preserve">Supplemental </w:t>
            </w:r>
          </w:p>
        </w:tc>
      </w:tr>
      <w:tr w:rsidR="00D83127" w:rsidRPr="00E35548" w:rsidTr="00DE6791">
        <w:trPr>
          <w:cantSplit/>
        </w:trPr>
        <w:tc>
          <w:tcPr>
            <w:tcW w:w="3215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Oligoclonal Banding, CSF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Positive; Negative. Two or more discrete IgG electrophoretic bands in CSF not in serum. Reflects restricted intrathecal IgG production (qualitative abnormality).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Outcome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Supplemental</w:t>
            </w:r>
          </w:p>
        </w:tc>
      </w:tr>
      <w:tr w:rsidR="00D83127" w:rsidRPr="00E35548" w:rsidTr="00DE6791">
        <w:trPr>
          <w:cantSplit/>
        </w:trPr>
        <w:tc>
          <w:tcPr>
            <w:tcW w:w="321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VDRL, CSF</w:t>
            </w:r>
          </w:p>
        </w:tc>
        <w:tc>
          <w:tcPr>
            <w:tcW w:w="380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Positive; Negative. Nonspecific serologic test for syphilis; Venereal Disease Research Laboratory test is used to screen CSF for reagin antibodies diagnostic for neurosyphyilis.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Diagnosis/ Safety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83127" w:rsidRPr="00E35548" w:rsidRDefault="00D83127" w:rsidP="00DE6791">
            <w:r w:rsidRPr="00E35548">
              <w:t>Supplemental</w:t>
            </w:r>
          </w:p>
        </w:tc>
      </w:tr>
    </w:tbl>
    <w:p w:rsidR="00F12CF5" w:rsidRDefault="008C2F46" w:rsidP="00F12CF5">
      <w:pPr>
        <w:pStyle w:val="Caption"/>
      </w:pPr>
      <w:r w:rsidRPr="00E35548">
        <w:rPr>
          <w:rFonts w:ascii="Arial Narrow" w:hAnsi="Arial Narrow" w:cs="Arial"/>
        </w:rPr>
        <w:br w:type="page"/>
      </w:r>
    </w:p>
    <w:p w:rsidR="00C13C8A" w:rsidRDefault="00C13C8A" w:rsidP="00C13C8A">
      <w:pPr>
        <w:pStyle w:val="Caption"/>
        <w:keepNext/>
      </w:pPr>
      <w:r>
        <w:lastRenderedPageBreak/>
        <w:t xml:space="preserve">Table </w:t>
      </w:r>
      <w:fldSimple w:instr=" SEQ Table \* ARABIC ">
        <w:r>
          <w:rPr>
            <w:noProof/>
          </w:rPr>
          <w:t>4</w:t>
        </w:r>
      </w:fldSimple>
      <w:r>
        <w:t xml:space="preserve"> </w:t>
      </w:r>
      <w:r w:rsidRPr="00175407">
        <w:t>CSF Culture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7"/>
        <w:gridCol w:w="3845"/>
        <w:gridCol w:w="1244"/>
        <w:gridCol w:w="1647"/>
      </w:tblGrid>
      <w:tr w:rsidR="006A6E1A" w:rsidRPr="00E35548" w:rsidTr="00DE6791">
        <w:trPr>
          <w:cantSplit/>
          <w:tblHeader/>
        </w:trPr>
        <w:tc>
          <w:tcPr>
            <w:tcW w:w="3177" w:type="dxa"/>
            <w:tcBorders>
              <w:bottom w:val="single" w:sz="4" w:space="0" w:color="000000"/>
            </w:tcBorders>
            <w:shd w:val="clear" w:color="auto" w:fill="FFFFFF"/>
          </w:tcPr>
          <w:p w:rsidR="006A6E1A" w:rsidRPr="00DE6791" w:rsidRDefault="006A6E1A" w:rsidP="00DE6791">
            <w:r w:rsidRPr="00DE6791">
              <w:t>CDE</w:t>
            </w:r>
          </w:p>
        </w:tc>
        <w:tc>
          <w:tcPr>
            <w:tcW w:w="3845" w:type="dxa"/>
            <w:tcBorders>
              <w:bottom w:val="single" w:sz="4" w:space="0" w:color="000000"/>
            </w:tcBorders>
            <w:shd w:val="clear" w:color="auto" w:fill="FFFFFF"/>
          </w:tcPr>
          <w:p w:rsidR="006A6E1A" w:rsidRPr="00DE6791" w:rsidRDefault="006A6E1A" w:rsidP="00DE6791">
            <w:r w:rsidRPr="00DE6791">
              <w:t>General Comments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FFFFFF"/>
          </w:tcPr>
          <w:p w:rsidR="006A6E1A" w:rsidRPr="00DE6791" w:rsidRDefault="006A6E1A" w:rsidP="00DE6791">
            <w:r w:rsidRPr="00DE6791">
              <w:t>Purpose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FFFFFF"/>
          </w:tcPr>
          <w:p w:rsidR="006A6E1A" w:rsidRPr="00DE6791" w:rsidRDefault="006A6E1A" w:rsidP="00DE6791">
            <w:r w:rsidRPr="00DE6791">
              <w:t>Classification</w:t>
            </w:r>
          </w:p>
        </w:tc>
      </w:tr>
      <w:tr w:rsidR="006A6E1A" w:rsidRPr="00E35548" w:rsidTr="00DE6791">
        <w:trPr>
          <w:cantSplit/>
        </w:trPr>
        <w:tc>
          <w:tcPr>
            <w:tcW w:w="3177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Bacterial, Fungal culture</w:t>
            </w:r>
          </w:p>
        </w:tc>
        <w:tc>
          <w:tcPr>
            <w:tcW w:w="3845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Cryptococcus neoformans antigen; Mycobacteria culture</w:t>
            </w:r>
            <w:r w:rsidR="003E409F" w:rsidRPr="00E35548">
              <w:t>. Culture of CSF to identify presence of a bacterial or fungal pathogen.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6A6E1A" w:rsidRPr="00E35548" w:rsidRDefault="008C2F46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6A6E1A" w:rsidRPr="00E35548" w:rsidRDefault="00D83127" w:rsidP="00DE6791">
            <w:r w:rsidRPr="00E35548">
              <w:t>Supplemental</w:t>
            </w:r>
          </w:p>
        </w:tc>
      </w:tr>
    </w:tbl>
    <w:p w:rsidR="006A6E1A" w:rsidRPr="00E35548" w:rsidRDefault="008C2F46" w:rsidP="00BC6707">
      <w:pPr>
        <w:spacing w:line="240" w:lineRule="auto"/>
        <w:jc w:val="center"/>
        <w:rPr>
          <w:rFonts w:ascii="Arial Narrow" w:hAnsi="Arial Narrow" w:cs="Arial"/>
          <w:b/>
        </w:rPr>
      </w:pPr>
      <w:r w:rsidRPr="00E35548">
        <w:rPr>
          <w:rFonts w:ascii="Arial Narrow" w:hAnsi="Arial Narrow" w:cs="Arial"/>
          <w:b/>
        </w:rPr>
        <w:br w:type="page"/>
      </w:r>
    </w:p>
    <w:p w:rsidR="00C13C8A" w:rsidRDefault="00C13C8A" w:rsidP="00C13C8A">
      <w:pPr>
        <w:pStyle w:val="Caption"/>
        <w:keepNext/>
      </w:pPr>
      <w:r>
        <w:lastRenderedPageBreak/>
        <w:t xml:space="preserve">Table </w:t>
      </w:r>
      <w:fldSimple w:instr=" SEQ Table \* ARABIC ">
        <w:r>
          <w:rPr>
            <w:noProof/>
          </w:rPr>
          <w:t>5</w:t>
        </w:r>
      </w:fldSimple>
      <w:r>
        <w:t xml:space="preserve"> </w:t>
      </w:r>
      <w:r w:rsidRPr="004B50FB">
        <w:t>Blood Tests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2"/>
        <w:gridCol w:w="4266"/>
        <w:gridCol w:w="1800"/>
      </w:tblGrid>
      <w:tr w:rsidR="00095D27" w:rsidRPr="00E35548" w:rsidTr="00DE6791">
        <w:trPr>
          <w:cantSplit/>
          <w:tblHeader/>
        </w:trPr>
        <w:tc>
          <w:tcPr>
            <w:tcW w:w="2952" w:type="dxa"/>
            <w:tcBorders>
              <w:bottom w:val="single" w:sz="4" w:space="0" w:color="000000"/>
            </w:tcBorders>
            <w:shd w:val="clear" w:color="auto" w:fill="FFFFFF"/>
          </w:tcPr>
          <w:p w:rsidR="00095D27" w:rsidRPr="00DE6791" w:rsidRDefault="00095D27" w:rsidP="00DE6791">
            <w:r w:rsidRPr="00DE6791">
              <w:t>CDE</w:t>
            </w:r>
          </w:p>
        </w:tc>
        <w:tc>
          <w:tcPr>
            <w:tcW w:w="4266" w:type="dxa"/>
            <w:tcBorders>
              <w:bottom w:val="single" w:sz="4" w:space="0" w:color="000000"/>
            </w:tcBorders>
            <w:shd w:val="clear" w:color="auto" w:fill="FFFFFF"/>
          </w:tcPr>
          <w:p w:rsidR="00095D27" w:rsidRPr="00DE6791" w:rsidRDefault="00095D27" w:rsidP="00DE6791">
            <w:r w:rsidRPr="00DE6791">
              <w:t>General Comments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FFFFF"/>
          </w:tcPr>
          <w:p w:rsidR="00095D27" w:rsidRPr="00DE6791" w:rsidRDefault="00095D27" w:rsidP="00DE6791">
            <w:r w:rsidRPr="00DE6791">
              <w:t>Classification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5, 10 Methylene Tetra Hydrofolate Reductase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Results reported as positive, negative or not done. Measure of enzyme which metabolizes homocysteine.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9F1DED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9F1DED" w:rsidRPr="00E35548" w:rsidRDefault="009F1DED" w:rsidP="00DE6791">
            <w:r>
              <w:t>25-OH vitamin D3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9F1DED" w:rsidRPr="00E35548" w:rsidRDefault="009F1DED" w:rsidP="00DE6791">
            <w:r>
              <w:t>Results reported as normal, high, or low; measured in ng/mL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F1DED" w:rsidRPr="00E35548" w:rsidRDefault="009F1DED" w:rsidP="00DE6791">
            <w:r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Activated partial thromboplastin time</w:t>
            </w:r>
            <w:r w:rsidR="00646281">
              <w:t>/</w:t>
            </w:r>
            <w:r w:rsidR="003A490E">
              <w:t>partial thromboplastin time (a</w:t>
            </w:r>
            <w:r w:rsidRPr="00E35548">
              <w:t>PTT/ PTT)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Performance indicators which measure the efficacy of coagulation pathways; measured in seconds.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Ammonia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Results reported as positive, negative or not done. Quantitative ammonia level.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Anti-Cardiolipin Antibody, IgG, IgM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Results reported as positive, negative or not done; measured in U/mL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Anti-ds DNA Antibody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Results reported as positive, negative or not done; measured in U/mL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Anti-ENA/ ANA Screen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Results reported as positive, negative or not done; measured in U/mL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Anti-Epstein-Barr VCA IgG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Results reported as positive, negative or not done; measured in U/mL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Anti-HAV Hepatitis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Results reported as positive, negative or not done; measured in U/mL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Anti-HCA Hepatitis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Results reported as positive, negative or not done; measured in U/mL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Anti-HCB Hepatitis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Results reported as positive, negative or not done; measured in U/mL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Anti-HCV Hepatitis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Results reported as positive, negative or not done; measured in U/mL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Anti-HIV 1/2 Antibody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Results reported as positive, negative or not done; measured in U/mL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lastRenderedPageBreak/>
              <w:t>Anti-HLTV-I/II antibody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Results reported as positive, negative or not done; measured in U/mL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Anti-JC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Results reported as positive, negative or not done; measured in U/mL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Anti-mycoplasma Ab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Results reported as positive, negative or not done; measured in U/mL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Anti-nuclear Antibody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Results reported as positive, negative or not done; measured in U/mL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Anti-SSA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Results reported as positive, negative or not done; measured in U/mL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Anti-SSB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Results reported as positive, negative or not done; measured in U/mL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646281">
            <w:r w:rsidRPr="00E35548">
              <w:t>Anti-</w:t>
            </w:r>
            <w:r w:rsidR="00646281" w:rsidRPr="00646281">
              <w:rPr>
                <w:bCs/>
              </w:rPr>
              <w:t>Thyroglobulin</w:t>
            </w:r>
            <w:r w:rsidRPr="00E35548">
              <w:t xml:space="preserve"> AB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Results reported as positive, negative or not done; measured in U/mL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Anti-VZV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Results reported as positive, negative or not done; measured in U/mL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Ceruloplasmin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Measured in mg/dL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Cholesterol - HDL***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Measured in mg/dL (U.S.) or mmol/L (outside U.S.)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Cholesterol - LDL***</w:t>
            </w:r>
          </w:p>
        </w:tc>
        <w:tc>
          <w:tcPr>
            <w:tcW w:w="426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Measured in mg/dL (U.S.) or mmol/L (outside U.S.)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646281">
            <w:r w:rsidRPr="00E35548">
              <w:t>Cholesterol - trig</w:t>
            </w:r>
            <w:r w:rsidR="00646281">
              <w:t>ly</w:t>
            </w:r>
            <w:r w:rsidRPr="00E35548">
              <w:t>cerides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Measured in mg/dL (U.S.) or mmol/L (outside U.S.)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Cholesterol - VLDL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Measured in mg/dL (U.S.) or mmol/L (outside U.S.)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Cholesterol, total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Measured in mg/dL (U.S.) or mmol/L (outside U.S.)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 xml:space="preserve">Classical AntiNeutrophil Cytoplasmic Antibodies 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Results reported as positive, negative or not done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C-reactive protein (CRP)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Measured in mg/L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lastRenderedPageBreak/>
              <w:t>Creatine Kinase - Myocardial Bands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Measured in ng/mL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Creatinine Clearance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Measured in mL/min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D-dimer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Results reported as positive, negative or not done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Epstein-Barr virus (EBV) panel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Results reported as positive, negative or not done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Erythrocyte Sedimentation Rate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Measured in mm/hr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Fibrinogen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Measured in mg/dL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Folate, serum level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Measured in ng/mL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Glomerular Filtration Rate (eGFR)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Sample ranges: estimated creatinine clearance – normal 90+; mild 60-89; moderate 30-59; &lt;15ml/min = kidney failure; measured in mL/min; required if study uses MRI with contrast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095D27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Glycosylated hemoglobin (HbA1c)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Results indicate "average" blood sugar over 6-12 week time; sample normal is 4%-6%; measured in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95D27" w:rsidRPr="00E35548" w:rsidRDefault="00095D27" w:rsidP="00DE6791">
            <w:r w:rsidRPr="00E35548">
              <w:t>Supplemental</w:t>
            </w:r>
          </w:p>
        </w:tc>
      </w:tr>
      <w:tr w:rsidR="001B483F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1B483F" w:rsidRPr="00E35548" w:rsidRDefault="001B483F" w:rsidP="00DE6791">
            <w:r w:rsidRPr="00E35548">
              <w:t>GaINAc-GD1a Antibody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1B483F" w:rsidRPr="00E35548" w:rsidRDefault="005553C5" w:rsidP="00DE6791">
            <w:r w:rsidRPr="00E35548">
              <w:t>Positive results may indicate severe axonal GBS or AMAN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1B483F" w:rsidRPr="00E35548" w:rsidRDefault="001B483F" w:rsidP="00DE6791">
            <w:r w:rsidRPr="00E35548">
              <w:t>Supplemental</w:t>
            </w:r>
          </w:p>
        </w:tc>
      </w:tr>
      <w:tr w:rsidR="001B483F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1B483F" w:rsidRPr="00E35548" w:rsidRDefault="001B483F" w:rsidP="00DE6791">
            <w:r w:rsidRPr="00E35548">
              <w:t>GD1a Antibody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1B483F" w:rsidRPr="00E35548" w:rsidRDefault="005553C5" w:rsidP="00DE6791">
            <w:r w:rsidRPr="00E35548">
              <w:t>Positive results may indicate severe axonal GBS or AMAN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1B483F" w:rsidRPr="00E35548" w:rsidRDefault="001B483F" w:rsidP="00DE6791">
            <w:r w:rsidRPr="00E35548">
              <w:t>Supplemental</w:t>
            </w:r>
          </w:p>
        </w:tc>
      </w:tr>
      <w:tr w:rsidR="001B483F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1B483F" w:rsidRPr="00E35548" w:rsidRDefault="001B483F" w:rsidP="00DE6791">
            <w:r w:rsidRPr="00E35548">
              <w:t>GD1b Antibody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1B483F" w:rsidRPr="00E35548" w:rsidRDefault="005553C5" w:rsidP="00646281">
            <w:r w:rsidRPr="00E35548">
              <w:t xml:space="preserve">Positive results may indicate varied sensory or </w:t>
            </w:r>
            <w:r w:rsidR="00646281" w:rsidRPr="00646281">
              <w:rPr>
                <w:bCs/>
              </w:rPr>
              <w:t>sensorimotor</w:t>
            </w:r>
            <w:r w:rsidRPr="00E35548">
              <w:t xml:space="preserve"> polyneuropathies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1B483F" w:rsidRPr="00E35548" w:rsidRDefault="001B483F" w:rsidP="00DE6791">
            <w:r w:rsidRPr="00E35548">
              <w:t>Supplemental</w:t>
            </w:r>
          </w:p>
        </w:tc>
      </w:tr>
      <w:tr w:rsidR="001B483F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1B483F" w:rsidRPr="00E35548" w:rsidRDefault="001B483F" w:rsidP="00DE6791">
            <w:r w:rsidRPr="00E35548">
              <w:t>GM1 Antibody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1B483F" w:rsidRPr="00E35548" w:rsidRDefault="005553C5" w:rsidP="00DE6791">
            <w:r w:rsidRPr="00E35548">
              <w:t>Positive results may indicate multifocal motor neuropathy or acute motor neuropathies including GBS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1B483F" w:rsidRPr="00E35548" w:rsidRDefault="001B483F" w:rsidP="00DE6791">
            <w:r w:rsidRPr="00E35548">
              <w:t>Supplemental</w:t>
            </w:r>
          </w:p>
        </w:tc>
      </w:tr>
      <w:tr w:rsidR="001B483F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1B483F" w:rsidRPr="00E35548" w:rsidRDefault="001B483F" w:rsidP="00DE6791">
            <w:r w:rsidRPr="00E35548">
              <w:lastRenderedPageBreak/>
              <w:t>GQ1b Antibody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1B483F" w:rsidRPr="00E35548" w:rsidRDefault="005553C5" w:rsidP="00DE6791">
            <w:r w:rsidRPr="00E35548">
              <w:t>Positive results may indicate Miller Fisher syndrome, acute ataxia and opthalmoplegia or Bickerstaff encephalitis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1B483F" w:rsidRPr="00E35548" w:rsidRDefault="001B483F" w:rsidP="00DE6791">
            <w:r w:rsidRPr="00E35548">
              <w:t>Supplemental</w:t>
            </w:r>
          </w:p>
        </w:tc>
      </w:tr>
      <w:tr w:rsidR="001B483F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1B483F" w:rsidRPr="00E35548" w:rsidRDefault="001B483F" w:rsidP="00DE6791">
            <w:r w:rsidRPr="00E35548">
              <w:t>GT1a Antibody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1B483F" w:rsidRPr="00E35548" w:rsidRDefault="00BE0901" w:rsidP="00DE6791">
            <w:r w:rsidRPr="00E35548">
              <w:t>Diagnostic antibody generated to specific ganglioside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1B483F" w:rsidRPr="00E35548" w:rsidRDefault="001B483F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High sensitivity C Reactive Protein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Acute phase reactant elevated with inflammation; non-specific; not clear, usually is &lt;10.0; measured in mg/L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HIV</w:t>
            </w:r>
          </w:p>
        </w:tc>
        <w:tc>
          <w:tcPr>
            <w:tcW w:w="426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Antibodies to HIV-1 and HIV-2, usually by ELISA; results reported as positive, negative or not done; positive result should be confirmed by Western Blot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Homocysteine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Elevated levels associated with B12, folic acid, and pyridoxine deficiencies; sample elevated level is &gt; 10.4 μmol/L, or</w:t>
            </w:r>
            <w:r w:rsidRPr="00E35548">
              <w:br/>
              <w:t>&gt; 140 μg/dl; measured in μmol/L or ug/dL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Human T-cell lymphotropic virus type 1 (HTLV-1)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 xml:space="preserve">Antibodies to retrovirus HTLV-1, typically screen with ELISA, confirmation with Western blot </w:t>
            </w:r>
          </w:p>
          <w:p w:rsidR="00F55F54" w:rsidRPr="00E35548" w:rsidRDefault="00F55F54" w:rsidP="00DE6791">
            <w:r w:rsidRPr="00E35548">
              <w:t>positive, negative, sometimes provides titers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Human T-cell lymphotropic virus type 2 (HTLV-2)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Antibodies to retrovirus HTLV-2,</w:t>
            </w:r>
          </w:p>
          <w:p w:rsidR="00F55F54" w:rsidRPr="00E35548" w:rsidRDefault="00F55F54" w:rsidP="00DE6791">
            <w:r w:rsidRPr="00E35548">
              <w:t>positive, negative, sometimes provides titers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3A490E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4C5804" w:rsidRPr="000048D6" w:rsidRDefault="003A490E" w:rsidP="00DE6791">
            <w:r w:rsidRPr="000048D6">
              <w:t xml:space="preserve">Insulin-like Growth Factor-1 </w:t>
            </w:r>
          </w:p>
          <w:p w:rsidR="003A490E" w:rsidRPr="00E35548" w:rsidRDefault="003A490E" w:rsidP="00DE6791">
            <w:r w:rsidRPr="000048D6">
              <w:t>(IGF-1)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3A490E" w:rsidRPr="00E35548" w:rsidRDefault="004C5804" w:rsidP="00DE6791">
            <w:r w:rsidRPr="004C5804">
              <w:t>IGF-1 levels can be measured in the blood in 10-1000 ng/ml amounts</w:t>
            </w:r>
            <w:r>
              <w:t>.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A490E" w:rsidRPr="00E35548" w:rsidRDefault="003A490E" w:rsidP="00DE6791">
            <w:r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Lyme disease Ab, Serum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646281">
            <w:r w:rsidRPr="00E35548">
              <w:t>Antibodies to Borrelia Burgdorferi, screen with ELISA, confirmation with Western blot; results reported as positive, negative or not done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lastRenderedPageBreak/>
              <w:t>Methylmalonic acid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rPr>
                <w:color w:val="000000"/>
              </w:rPr>
              <w:t>Elevated levels associated with B12 deficiency; sample normal range</w:t>
            </w:r>
            <w:r w:rsidRPr="00E35548">
              <w:t xml:space="preserve"> 73-271 nmol/L; often elevated non-specifically in elderly; measured in nmol/L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Paraneoplastic panel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Test for autoantibodies often associated with cancers; includes ANNA 1(Hu); ANNA 2 (Ri), ANNA 3, anti-Yo (against Purkinje cells); Purkinje cell Tr, CRMP-5 IgG, amphyiphysin Ab, AGNA1, antibodies to voltage gated potassium channels, AChR binding and antibodies against gan</w:t>
            </w:r>
            <w:r w:rsidR="00CE7C10">
              <w:t>g</w:t>
            </w:r>
            <w:r w:rsidRPr="00E35548">
              <w:t>lionic neuronal antigens, often NMO IgG, and others; results reported as positive or negative, and sometimes provided as titers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Pregnancy test, blood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Test for beta subunit of human chorionic gonadotropin; results reported as positive, negative or not done; sensitive to as low as 1mIU/ml serum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Pregnancy test, urine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 xml:space="preserve">Test for beta subunit of human chorionic gonadotropin; results reported as positive, negative or not done; sensitive to as low as 10mIU/ml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Prothrombin time (PT)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Measures extrinsic coagulation pathway (functional assay of Factors I, Ii, V, VII and X); Sample normal range is 11-16 seconds; measured in seconds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 xml:space="preserve">Prothrombin time/ international </w:t>
            </w:r>
            <w:r w:rsidR="00CE7C10" w:rsidRPr="00E35548">
              <w:t>normalized</w:t>
            </w:r>
            <w:r w:rsidRPr="00E35548">
              <w:t xml:space="preserve"> ratio (PT/INR)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 xml:space="preserve">Ratio of PT tested to PT of normal controls, used to standardize PT sample normal range is 0.8-1.2; measured as a ratio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Protoplasmic-staining AntiNeutrophil Cytoplasmic Antibodies (ANCA)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Autoantibodies to cytoplasmic antigens in neutrophils; positive in several types of vasculidites, e.g. Wegner's, Churg-Strauss; usually given as titers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lastRenderedPageBreak/>
              <w:t>Rapid plasma reagin (RPR/VDRL)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Screening test for antibodies to syphilis in blood; most sensitive in Secondary Syphilis, less sensitive in primary and tertiary syphilis; should be confirmed with the more specific FTA-ABS test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 xml:space="preserve">Rapid plasma reagin (RPR; </w:t>
            </w:r>
            <w:r w:rsidR="00CE7C10" w:rsidRPr="00E35548">
              <w:t>syphilis</w:t>
            </w:r>
            <w:r w:rsidRPr="00E35548">
              <w:t>)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See above, RPR has largely replaced the older VDRL test; results reported as positive, negative or not done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Rheumatoid factor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IgM autoantibody against Fc portion of self IgG; can bind to IG to form immune complexes; positive in 80% of patients with Rheumatoid Arthritis, 70% of patients with Sjogren's Syndrome,  in 5-10% healthy controls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serum IgA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Isotype of Ig; sample normal range is 70-370 measured in mg/dL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serum IgE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Isotype of Ig; upper limit of normal not well defined; measured in mg/dL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serum IgG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Isotype of Ig; sample normal range is 700-1450; measured in mg/dL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serum IgM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Isotype of Ig; sample normal range is 30-210; measured in mg/dL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Serum Pregnancy (if applicable)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Results reported as positive, negative or not done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Serum protein electrophoresis with immunofixation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Screening test for disease such as multiple myeloma, macroglobulinemia, amyloidosis. Separation of major serum proteins by electrophoresis, with identification by immune methods; total protein : 6.4-8.3; albumin 3.5-5.0; alpha-1globulin 0.1-0.3; alpha-2-globulin 0.6-1.0; beta globulin 0.7-1.2; gamma globulin 0.7-1.6 g/dL; measured in g/dL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lastRenderedPageBreak/>
              <w:t>Stool Guaiac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rPr>
                <w:color w:val="000000"/>
              </w:rPr>
              <w:t>Test for fecal occult blood, using alpha-guaiaconic acid and hydrogen peroxide; iron supplements and various foods can alter results</w:t>
            </w:r>
            <w:r w:rsidRPr="00E35548">
              <w:t xml:space="preserve"> reported as positive, negative or not done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D21C2D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D21C2D" w:rsidRPr="00E35548" w:rsidRDefault="00D21C2D" w:rsidP="00DE6791">
            <w:r w:rsidRPr="00E35548">
              <w:t>Sulfatide Antibody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D21C2D" w:rsidRPr="00E35548" w:rsidRDefault="00D21C2D" w:rsidP="00DE6791">
            <w:pPr>
              <w:rPr>
                <w:color w:val="000000"/>
              </w:rPr>
            </w:pPr>
            <w:r w:rsidRPr="00E35548">
              <w:rPr>
                <w:color w:val="000000"/>
              </w:rPr>
              <w:t>Positive results may indicate chronic sensory neuropathies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21C2D" w:rsidRPr="00E35548" w:rsidRDefault="00D21C2D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TB Skin testing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646281">
            <w:r w:rsidRPr="00E35548">
              <w:t xml:space="preserve">0.1ml </w:t>
            </w:r>
            <w:r w:rsidR="00646281">
              <w:t>purified</w:t>
            </w:r>
            <w:r w:rsidR="00DE6791">
              <w:t xml:space="preserve"> protein derivative of T.B. </w:t>
            </w:r>
            <w:r w:rsidRPr="00E35548">
              <w:t>Positive is &gt;15mm induration; &gt;10mm in immunosuppressed persons, negative &lt;10mm.  Can be false positive after BCG vaccination. Can be falsely negative; read as mm of induration at 48-72hr.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Thrombin time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Measured in seconds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Thyroid stimulating hormone (TSH)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Measured in mIU/L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  <w:trHeight w:val="1124"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Thyroxine (T4), free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CE7C10">
            <w:r w:rsidRPr="00E35548">
              <w:t>Measured in mcg/dL; ordered and reported when TSH is &lt;0.40 m</w:t>
            </w:r>
            <w:r w:rsidR="009576ED">
              <w:t>lU/L or &gt;4.00 mlU/</w:t>
            </w:r>
            <w:r w:rsidRPr="00E35548">
              <w:t>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4C5804" w:rsidRPr="00E35548" w:rsidTr="00FE5B08">
        <w:trPr>
          <w:cantSplit/>
          <w:trHeight w:val="665"/>
        </w:trPr>
        <w:tc>
          <w:tcPr>
            <w:tcW w:w="2952" w:type="dxa"/>
            <w:shd w:val="clear" w:color="auto" w:fill="FFFFFF"/>
            <w:vAlign w:val="center"/>
          </w:tcPr>
          <w:p w:rsidR="004C5804" w:rsidRPr="00E35548" w:rsidRDefault="004C5804" w:rsidP="00DE6791">
            <w:r w:rsidRPr="000048D6">
              <w:t>Total T4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4C5804" w:rsidRPr="00E35548" w:rsidRDefault="004C5804" w:rsidP="00DE6791">
            <w:r w:rsidRPr="00E35548">
              <w:t>Measured in mcg/dL</w:t>
            </w:r>
            <w:r>
              <w:t>;</w:t>
            </w:r>
            <w:r w:rsidRPr="004C5804">
              <w:t xml:space="preserve"> normal range is </w:t>
            </w:r>
            <w:r>
              <w:t>ap</w:t>
            </w:r>
            <w:r w:rsidRPr="004C5804">
              <w:t>proximately 4.5 to 12.5</w:t>
            </w:r>
            <w:r w:rsidR="009576ED">
              <w:t xml:space="preserve"> mcg/dL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4C5804" w:rsidRPr="00E35548" w:rsidRDefault="004C5804" w:rsidP="00DE6791">
            <w:r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Toxicology screen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Results reported as positive, negative or not done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Troponin I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Measured in µg/L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Troponin T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Measured in µg/L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Vitamin B12, Serum level</w:t>
            </w:r>
          </w:p>
        </w:tc>
        <w:tc>
          <w:tcPr>
            <w:tcW w:w="4266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Measured in ng/L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Vitamin D, 25 hydroxy</w:t>
            </w:r>
          </w:p>
        </w:tc>
        <w:tc>
          <w:tcPr>
            <w:tcW w:w="426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Measured in ng/mL or nmol/L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  <w:tr w:rsidR="00F55F54" w:rsidRPr="00E35548" w:rsidTr="00FE5B08">
        <w:trPr>
          <w:cantSplit/>
        </w:trPr>
        <w:tc>
          <w:tcPr>
            <w:tcW w:w="29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β 2- glycoprotein Antibody IgG, IgM</w:t>
            </w:r>
          </w:p>
        </w:tc>
        <w:tc>
          <w:tcPr>
            <w:tcW w:w="426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Measured in SGU and SMU, respectively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5F54" w:rsidRPr="00E35548" w:rsidRDefault="00F55F54" w:rsidP="00DE6791">
            <w:r w:rsidRPr="00E35548">
              <w:t>Supplemental</w:t>
            </w:r>
          </w:p>
        </w:tc>
      </w:tr>
    </w:tbl>
    <w:p w:rsidR="006A6E1A" w:rsidRPr="00E35548" w:rsidRDefault="001B5B80" w:rsidP="001B483F">
      <w:pPr>
        <w:jc w:val="center"/>
        <w:rPr>
          <w:rFonts w:ascii="Arial Narrow" w:hAnsi="Arial Narrow" w:cs="Arial"/>
          <w:b/>
        </w:rPr>
      </w:pPr>
      <w:r w:rsidRPr="00E35548">
        <w:rPr>
          <w:rFonts w:ascii="Arial Narrow" w:hAnsi="Arial Narrow" w:cs="Arial"/>
        </w:rPr>
        <w:br w:type="page"/>
      </w:r>
    </w:p>
    <w:p w:rsidR="00C13C8A" w:rsidRDefault="00C13C8A" w:rsidP="00C13C8A">
      <w:pPr>
        <w:pStyle w:val="Caption"/>
        <w:keepNext/>
      </w:pPr>
      <w:r>
        <w:lastRenderedPageBreak/>
        <w:t xml:space="preserve">Table </w:t>
      </w:r>
      <w:fldSimple w:instr=" SEQ Table \* ARABIC ">
        <w:r>
          <w:rPr>
            <w:noProof/>
          </w:rPr>
          <w:t>6</w:t>
        </w:r>
      </w:fldSimple>
      <w:r>
        <w:t xml:space="preserve"> </w:t>
      </w:r>
      <w:r w:rsidRPr="00515632">
        <w:t>Blood Gas Tests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3911"/>
        <w:gridCol w:w="1097"/>
        <w:gridCol w:w="1647"/>
      </w:tblGrid>
      <w:tr w:rsidR="006A6E1A" w:rsidRPr="00E35548" w:rsidTr="00DE6791">
        <w:tc>
          <w:tcPr>
            <w:tcW w:w="3258" w:type="dxa"/>
            <w:tcBorders>
              <w:bottom w:val="single" w:sz="4" w:space="0" w:color="000000"/>
            </w:tcBorders>
            <w:shd w:val="clear" w:color="auto" w:fill="FFFFFF"/>
          </w:tcPr>
          <w:p w:rsidR="006A6E1A" w:rsidRPr="00DE6791" w:rsidRDefault="006A6E1A" w:rsidP="00DE6791">
            <w:r w:rsidRPr="00DE6791">
              <w:t>CDE</w:t>
            </w:r>
          </w:p>
        </w:tc>
        <w:tc>
          <w:tcPr>
            <w:tcW w:w="3911" w:type="dxa"/>
            <w:tcBorders>
              <w:bottom w:val="single" w:sz="4" w:space="0" w:color="000000"/>
            </w:tcBorders>
            <w:shd w:val="clear" w:color="auto" w:fill="FFFFFF"/>
          </w:tcPr>
          <w:p w:rsidR="006A6E1A" w:rsidRPr="00DE6791" w:rsidRDefault="006A6E1A" w:rsidP="00DE6791">
            <w:r w:rsidRPr="00DE6791">
              <w:t>General Comments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shd w:val="clear" w:color="auto" w:fill="FFFFFF"/>
          </w:tcPr>
          <w:p w:rsidR="006A6E1A" w:rsidRPr="00DE6791" w:rsidRDefault="006A6E1A" w:rsidP="00DE6791">
            <w:r w:rsidRPr="00DE6791">
              <w:t>Purpose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FFFFFF"/>
          </w:tcPr>
          <w:p w:rsidR="006A6E1A" w:rsidRPr="00DE6791" w:rsidRDefault="006A6E1A" w:rsidP="00DE6791">
            <w:r w:rsidRPr="00DE6791">
              <w:t>Classification</w:t>
            </w:r>
          </w:p>
        </w:tc>
      </w:tr>
      <w:tr w:rsidR="006A6E1A" w:rsidRPr="00E35548" w:rsidTr="00FE5B08">
        <w:tc>
          <w:tcPr>
            <w:tcW w:w="3258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Acidity/ pH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 </w:t>
            </w:r>
            <w:r w:rsidR="00F12CF5">
              <w:t>Intentionally Left Blank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6A6E1A" w:rsidRPr="00E35548" w:rsidRDefault="008C2F46" w:rsidP="00DE6791">
            <w:r w:rsidRPr="00E35548">
              <w:t>Supplemental</w:t>
            </w:r>
          </w:p>
        </w:tc>
      </w:tr>
      <w:tr w:rsidR="006A6E1A" w:rsidRPr="00E35548" w:rsidTr="00FE5B08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Partial pressure of oxygen</w:t>
            </w:r>
            <w:r w:rsidR="00D745A0">
              <w:t xml:space="preserve"> (PO2)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Measured in mmHg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6E1A" w:rsidRPr="00E35548" w:rsidRDefault="008C2F46" w:rsidP="00DE6791">
            <w:r w:rsidRPr="00E35548">
              <w:t>Supplemental</w:t>
            </w:r>
          </w:p>
        </w:tc>
      </w:tr>
      <w:tr w:rsidR="006A6E1A" w:rsidRPr="00E35548" w:rsidTr="00FE5B08">
        <w:trPr>
          <w:trHeight w:val="7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Partial pressure of carbon dioxide</w:t>
            </w:r>
            <w:r w:rsidR="00D745A0">
              <w:t xml:space="preserve"> (PCO2)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Measured in mmHg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6E1A" w:rsidRPr="00E35548" w:rsidRDefault="008C2F46" w:rsidP="00DE6791">
            <w:r w:rsidRPr="00E35548">
              <w:t>Supplemental</w:t>
            </w:r>
          </w:p>
        </w:tc>
      </w:tr>
      <w:tr w:rsidR="00D745A0" w:rsidRPr="00E35548" w:rsidTr="00FE5B08">
        <w:trPr>
          <w:trHeight w:val="7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5A0" w:rsidRPr="00E844A4" w:rsidRDefault="00D745A0" w:rsidP="00DE6791">
            <w:r w:rsidRPr="00E844A4">
              <w:t>Whole blood bicarbonate (HCO3)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5A0" w:rsidRPr="00E35548" w:rsidRDefault="00F12CF5" w:rsidP="00DE6791">
            <w:r>
              <w:t>Intentionally Left Blank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5A0" w:rsidRPr="00E35548" w:rsidRDefault="00D745A0" w:rsidP="00DE6791">
            <w:r>
              <w:t>Safety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5A0" w:rsidRPr="00E35548" w:rsidRDefault="00D745A0" w:rsidP="00DE6791">
            <w:r>
              <w:t>Supplemental</w:t>
            </w:r>
          </w:p>
        </w:tc>
      </w:tr>
      <w:tr w:rsidR="00D745A0" w:rsidRPr="00E35548" w:rsidTr="00FE5B08">
        <w:trPr>
          <w:trHeight w:val="7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5A0" w:rsidRPr="00E844A4" w:rsidRDefault="00D745A0" w:rsidP="00DE6791">
            <w:r w:rsidRPr="00E844A4">
              <w:t>FIO3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5A0" w:rsidRPr="00E35548" w:rsidRDefault="00F12CF5" w:rsidP="00DE6791">
            <w:r>
              <w:t>Intentionally Left Blank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5A0" w:rsidRDefault="00D745A0" w:rsidP="00DE6791">
            <w:r>
              <w:t>Safety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5A0" w:rsidRDefault="00D745A0" w:rsidP="00DE6791">
            <w:r>
              <w:t>Supplemental</w:t>
            </w:r>
          </w:p>
        </w:tc>
      </w:tr>
    </w:tbl>
    <w:p w:rsidR="006A6E1A" w:rsidRPr="00E35548" w:rsidRDefault="001B5B80" w:rsidP="001B5B80">
      <w:pPr>
        <w:jc w:val="center"/>
        <w:rPr>
          <w:rFonts w:ascii="Arial Narrow" w:hAnsi="Arial Narrow" w:cs="Arial"/>
          <w:b/>
        </w:rPr>
      </w:pPr>
      <w:r w:rsidRPr="00E35548">
        <w:rPr>
          <w:rFonts w:ascii="Arial Narrow" w:hAnsi="Arial Narrow" w:cs="Arial"/>
        </w:rPr>
        <w:br w:type="page"/>
      </w:r>
    </w:p>
    <w:p w:rsidR="00C13C8A" w:rsidRDefault="00C13C8A" w:rsidP="00C13C8A">
      <w:pPr>
        <w:pStyle w:val="Caption"/>
        <w:keepNext/>
      </w:pPr>
      <w:r>
        <w:lastRenderedPageBreak/>
        <w:t xml:space="preserve">Table </w:t>
      </w:r>
      <w:fldSimple w:instr=" SEQ Table \* ARABIC ">
        <w:r>
          <w:rPr>
            <w:noProof/>
          </w:rPr>
          <w:t>7</w:t>
        </w:r>
      </w:fldSimple>
      <w:r>
        <w:t xml:space="preserve"> </w:t>
      </w:r>
      <w:r w:rsidRPr="00A04EA5">
        <w:t>Urinalysis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798"/>
        <w:gridCol w:w="1097"/>
        <w:gridCol w:w="1826"/>
      </w:tblGrid>
      <w:tr w:rsidR="006A6E1A" w:rsidRPr="00E35548" w:rsidTr="00DE6791">
        <w:trPr>
          <w:cantSplit/>
          <w:tblHeader/>
        </w:trPr>
        <w:tc>
          <w:tcPr>
            <w:tcW w:w="3192" w:type="dxa"/>
            <w:tcBorders>
              <w:bottom w:val="single" w:sz="4" w:space="0" w:color="000000"/>
            </w:tcBorders>
            <w:shd w:val="clear" w:color="auto" w:fill="FFFFFF"/>
          </w:tcPr>
          <w:p w:rsidR="006A6E1A" w:rsidRPr="00E35548" w:rsidRDefault="006A6E1A" w:rsidP="00DE6791">
            <w:r w:rsidRPr="00E35548">
              <w:t>CDE</w:t>
            </w:r>
          </w:p>
        </w:tc>
        <w:tc>
          <w:tcPr>
            <w:tcW w:w="3798" w:type="dxa"/>
            <w:tcBorders>
              <w:bottom w:val="single" w:sz="4" w:space="0" w:color="000000"/>
            </w:tcBorders>
            <w:shd w:val="clear" w:color="auto" w:fill="FFFFFF"/>
          </w:tcPr>
          <w:p w:rsidR="006A6E1A" w:rsidRPr="00E35548" w:rsidRDefault="006A6E1A" w:rsidP="00DE6791">
            <w:r w:rsidRPr="00E35548">
              <w:t>General Comments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shd w:val="clear" w:color="auto" w:fill="FFFFFF"/>
          </w:tcPr>
          <w:p w:rsidR="006A6E1A" w:rsidRPr="00E35548" w:rsidRDefault="006A6E1A" w:rsidP="00DE6791">
            <w:r w:rsidRPr="00E35548">
              <w:t>Purpose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FFFFFF"/>
          </w:tcPr>
          <w:p w:rsidR="006A6E1A" w:rsidRPr="00E35548" w:rsidRDefault="006A6E1A" w:rsidP="00DE6791">
            <w:r w:rsidRPr="00E35548">
              <w:t>Classification</w:t>
            </w:r>
          </w:p>
        </w:tc>
      </w:tr>
      <w:tr w:rsidR="00767048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767048" w:rsidRPr="00E35548" w:rsidRDefault="00767048" w:rsidP="00DE6791">
            <w:r>
              <w:t>Albumin, urine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767048" w:rsidRPr="00E35548" w:rsidRDefault="00767048" w:rsidP="00DE6791">
            <w:r>
              <w:t>Measured in g/dL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767048" w:rsidRPr="00E35548" w:rsidRDefault="00767048" w:rsidP="00DE6791">
            <w:r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767048" w:rsidRPr="00E35548" w:rsidRDefault="00767048" w:rsidP="00DE6791">
            <w:r>
              <w:t>Supplemental</w:t>
            </w:r>
          </w:p>
        </w:tc>
      </w:tr>
      <w:tr w:rsidR="006A6E1A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Bacteria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6A6E1A" w:rsidRPr="00E35548" w:rsidRDefault="001B5B80" w:rsidP="00DE6791">
            <w:r w:rsidRPr="00E35548">
              <w:t>Reported as present or absent; normal result = Absent, a</w:t>
            </w:r>
            <w:r w:rsidR="006A6E1A" w:rsidRPr="00E35548">
              <w:t>bnormal result = Present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6A6E1A" w:rsidRPr="00E35548" w:rsidRDefault="00061CE7" w:rsidP="00DE6791">
            <w:r>
              <w:t>Supplemental</w:t>
            </w:r>
          </w:p>
        </w:tc>
      </w:tr>
      <w:tr w:rsidR="00767048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Bilirubin, urine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Measured in mg/dL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Supplemental</w:t>
            </w:r>
          </w:p>
        </w:tc>
      </w:tr>
      <w:tr w:rsidR="006A6E1A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Blood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6A6E1A" w:rsidRPr="00E35548" w:rsidRDefault="001B5B80" w:rsidP="00DE6791">
            <w:r w:rsidRPr="00E35548">
              <w:t>Reported as present or absent; normal result = Absent, abnormal result = Present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6A6E1A" w:rsidRPr="00E35548" w:rsidRDefault="00061CE7" w:rsidP="00DE6791">
            <w:r>
              <w:t>Supplemental</w:t>
            </w:r>
          </w:p>
        </w:tc>
      </w:tr>
      <w:tr w:rsidR="00767048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Casts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Reported as present or absent; normal result = Absent, abnormal result = Present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Supplemental</w:t>
            </w:r>
          </w:p>
        </w:tc>
      </w:tr>
      <w:tr w:rsidR="006A6E1A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Clarity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Normal result = Clear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6A6E1A" w:rsidRPr="00E35548" w:rsidRDefault="00061CE7" w:rsidP="00DE6791">
            <w:r>
              <w:t>Supplemental</w:t>
            </w:r>
          </w:p>
        </w:tc>
      </w:tr>
      <w:tr w:rsidR="006A6E1A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Color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Normal result = Yellow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6A6E1A" w:rsidRPr="00E35548" w:rsidRDefault="00061CE7" w:rsidP="00DE6791">
            <w:r>
              <w:t>Supplemental</w:t>
            </w:r>
          </w:p>
        </w:tc>
      </w:tr>
      <w:tr w:rsidR="00767048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Creatinine, urine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Measured in mg/dL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Supplemental</w:t>
            </w:r>
          </w:p>
        </w:tc>
      </w:tr>
      <w:tr w:rsidR="00767048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Crystals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Reported as present or absent; normal result = Absent, abnormal result = Present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Supplemental</w:t>
            </w:r>
          </w:p>
        </w:tc>
      </w:tr>
      <w:tr w:rsidR="00767048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Culture, urine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Measured in units/mL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Supplemental</w:t>
            </w:r>
          </w:p>
        </w:tc>
      </w:tr>
      <w:tr w:rsidR="00767048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Epithelial cells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Normal result = Few or None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Supplemental</w:t>
            </w:r>
          </w:p>
        </w:tc>
      </w:tr>
      <w:tr w:rsidR="00767048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767048" w:rsidRPr="00E35548" w:rsidRDefault="00767048" w:rsidP="00646281">
            <w:r w:rsidRPr="00E35548">
              <w:t>Glomerular Filtration Rate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Measured in mL/min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Supplemental</w:t>
            </w:r>
          </w:p>
        </w:tc>
      </w:tr>
      <w:tr w:rsidR="006A6E1A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Glucose</w:t>
            </w:r>
            <w:r w:rsidR="00D745A0">
              <w:t>, urine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6A6E1A" w:rsidRPr="00E35548" w:rsidRDefault="001B5B80" w:rsidP="00DE6791">
            <w:r w:rsidRPr="00E35548">
              <w:t>Reported as present or absent; normal result = Absent, abnormal result = Present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6A6E1A" w:rsidRPr="00E35548" w:rsidRDefault="00061CE7" w:rsidP="00DE6791">
            <w:r>
              <w:t>Supplemental</w:t>
            </w:r>
          </w:p>
        </w:tc>
      </w:tr>
      <w:tr w:rsidR="00767048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Hemoglobin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Reported as present or absent; normal result = Absent, abnormal result = Present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Supplemental</w:t>
            </w:r>
          </w:p>
        </w:tc>
      </w:tr>
      <w:tr w:rsidR="006A6E1A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Ketones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Measured in mg/dL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6A6E1A" w:rsidRPr="00E35548" w:rsidRDefault="00061CE7" w:rsidP="00DE6791">
            <w:r>
              <w:t>Supplemental</w:t>
            </w:r>
          </w:p>
        </w:tc>
      </w:tr>
      <w:tr w:rsidR="00D21C2D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D21C2D" w:rsidRPr="00E35548" w:rsidRDefault="00D21C2D" w:rsidP="00DE6791">
            <w:r w:rsidRPr="00E35548">
              <w:lastRenderedPageBreak/>
              <w:t>Leukocyte esterase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D21C2D" w:rsidRPr="00E35548" w:rsidRDefault="00D21C2D" w:rsidP="00DE6791">
            <w:r w:rsidRPr="00E35548">
              <w:t>Reported as present or absent; normal result = Absent, abnormal result = Present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D21C2D" w:rsidRPr="00E35548" w:rsidRDefault="00D21C2D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D21C2D" w:rsidRPr="00E35548" w:rsidRDefault="00D21C2D" w:rsidP="00DE6791">
            <w:r w:rsidRPr="00E35548">
              <w:t>Supplemental</w:t>
            </w:r>
          </w:p>
        </w:tc>
      </w:tr>
      <w:tr w:rsidR="006A6E1A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Leukocytes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6A6E1A" w:rsidRPr="00E35548" w:rsidRDefault="001B5B80" w:rsidP="00DE6791">
            <w:r w:rsidRPr="00E35548">
              <w:t>Reported as present or absent; normal result = Absent, abnormal result = Present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6A6E1A" w:rsidRPr="00E35548" w:rsidRDefault="00061CE7" w:rsidP="00DE6791">
            <w:r>
              <w:t>Supplemental</w:t>
            </w:r>
          </w:p>
        </w:tc>
      </w:tr>
      <w:tr w:rsidR="00767048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Myoglobin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Reported as positive or negative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Supplemental</w:t>
            </w:r>
          </w:p>
        </w:tc>
      </w:tr>
      <w:tr w:rsidR="006A6E1A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Nitrite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6A6E1A" w:rsidRPr="00E35548" w:rsidRDefault="001B5B80" w:rsidP="00DE6791">
            <w:r w:rsidRPr="00E35548">
              <w:t>Reported as present or absent; normal result = Absent, abnormal result = Present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6A6E1A" w:rsidRPr="00E35548" w:rsidRDefault="00061CE7" w:rsidP="00DE6791">
            <w:r>
              <w:t>Supplemental</w:t>
            </w:r>
          </w:p>
        </w:tc>
      </w:tr>
      <w:tr w:rsidR="006A6E1A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pH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6A6E1A" w:rsidRPr="00E35548" w:rsidRDefault="006A6E1A" w:rsidP="00DE6791"/>
        </w:tc>
        <w:tc>
          <w:tcPr>
            <w:tcW w:w="1097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6A6E1A" w:rsidRPr="00E35548" w:rsidRDefault="00061CE7" w:rsidP="00DE6791">
            <w:r>
              <w:t>Supplemental</w:t>
            </w:r>
          </w:p>
        </w:tc>
      </w:tr>
      <w:tr w:rsidR="006A6E1A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Protein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Measured in mg/dL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6A6E1A" w:rsidRPr="00E35548" w:rsidRDefault="00061CE7" w:rsidP="00DE6791">
            <w:r>
              <w:t>Supplemental</w:t>
            </w:r>
          </w:p>
        </w:tc>
      </w:tr>
      <w:tr w:rsidR="006A6E1A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Red cell/microscopic RBC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Measured in cells/high power field (HPF); Normal = Trace or None.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6A6E1A" w:rsidRPr="00E35548" w:rsidRDefault="00061CE7" w:rsidP="00DE6791">
            <w:r>
              <w:t>Supplemental</w:t>
            </w:r>
          </w:p>
        </w:tc>
      </w:tr>
      <w:tr w:rsidR="006A6E1A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Specific gravity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6A6E1A" w:rsidRPr="00E35548" w:rsidRDefault="006A6E1A" w:rsidP="00DE6791"/>
        </w:tc>
        <w:tc>
          <w:tcPr>
            <w:tcW w:w="1097" w:type="dxa"/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6A6E1A" w:rsidRPr="00E35548" w:rsidRDefault="00061CE7" w:rsidP="00DE6791">
            <w:r>
              <w:t>Supplemental</w:t>
            </w:r>
          </w:p>
        </w:tc>
      </w:tr>
      <w:tr w:rsidR="00767048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Urine cast/LPF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Reported as present or absent; normal result = Absent, abnormal result = Present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Supplemental</w:t>
            </w:r>
          </w:p>
        </w:tc>
      </w:tr>
      <w:tr w:rsidR="00767048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Urine Protein Electrophoresis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Reported as description of what protein was found in urine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Supplemental</w:t>
            </w:r>
          </w:p>
        </w:tc>
      </w:tr>
      <w:tr w:rsidR="00767048" w:rsidRPr="00E35548" w:rsidTr="00FE5B08">
        <w:trPr>
          <w:cantSplit/>
        </w:trPr>
        <w:tc>
          <w:tcPr>
            <w:tcW w:w="3192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Urobilinogen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Reported as present or absent; normal result = Absent, abnormal result = Present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Safety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767048" w:rsidRPr="00E35548" w:rsidRDefault="00767048" w:rsidP="00DE6791">
            <w:r w:rsidRPr="00E35548">
              <w:t>Supplemental</w:t>
            </w:r>
          </w:p>
        </w:tc>
      </w:tr>
      <w:tr w:rsidR="006A6E1A" w:rsidRPr="00E35548" w:rsidTr="00FE5B08">
        <w:trPr>
          <w:cantSplit/>
        </w:trPr>
        <w:tc>
          <w:tcPr>
            <w:tcW w:w="31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White cell/microscopic WBC</w:t>
            </w:r>
          </w:p>
        </w:tc>
        <w:tc>
          <w:tcPr>
            <w:tcW w:w="379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Measured in cells/high power field (HPF); Normal = Trace or None.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A6E1A" w:rsidRPr="00E35548" w:rsidRDefault="006A6E1A" w:rsidP="00DE6791">
            <w:r w:rsidRPr="00E35548">
              <w:t>Safety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A6E1A" w:rsidRPr="00E35548" w:rsidRDefault="00061CE7" w:rsidP="00DE6791">
            <w:r>
              <w:t xml:space="preserve">Supplemental </w:t>
            </w:r>
          </w:p>
        </w:tc>
      </w:tr>
      <w:tr w:rsidR="00D745A0" w:rsidRPr="00E35548" w:rsidTr="00FE5B08">
        <w:trPr>
          <w:cantSplit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5A0" w:rsidRPr="00E35548" w:rsidRDefault="00D745A0" w:rsidP="00DE6791">
            <w:r w:rsidRPr="00E35548">
              <w:t>Yeast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5A0" w:rsidRPr="00E35548" w:rsidRDefault="00D745A0" w:rsidP="00DE6791">
            <w:r w:rsidRPr="00E35548">
              <w:t>Reported as present or absent; normal result = Absent, abnormal result = Present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5A0" w:rsidRPr="00E35548" w:rsidRDefault="00D745A0" w:rsidP="00DE6791">
            <w:r w:rsidRPr="00E35548">
              <w:t>Safety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5A0" w:rsidRPr="00E35548" w:rsidRDefault="00D745A0" w:rsidP="00DE6791">
            <w:r w:rsidRPr="00E35548">
              <w:t>Supplemental</w:t>
            </w:r>
          </w:p>
        </w:tc>
      </w:tr>
    </w:tbl>
    <w:p w:rsidR="00F12CF5" w:rsidRDefault="000C6978" w:rsidP="00F12CF5">
      <w:pPr>
        <w:pStyle w:val="Caption"/>
      </w:pPr>
      <w:r w:rsidRPr="00E35548">
        <w:rPr>
          <w:rFonts w:ascii="Arial Narrow" w:hAnsi="Arial Narrow" w:cs="Arial"/>
        </w:rPr>
        <w:br w:type="page"/>
      </w:r>
    </w:p>
    <w:p w:rsidR="00C13C8A" w:rsidRDefault="00C13C8A" w:rsidP="00C13C8A">
      <w:pPr>
        <w:pStyle w:val="Caption"/>
        <w:keepNext/>
      </w:pPr>
      <w:r>
        <w:lastRenderedPageBreak/>
        <w:t xml:space="preserve">Table </w:t>
      </w:r>
      <w:fldSimple w:instr=" SEQ Table \* ARABIC ">
        <w:r>
          <w:rPr>
            <w:noProof/>
          </w:rPr>
          <w:t>8</w:t>
        </w:r>
      </w:fldSimple>
      <w:r>
        <w:t xml:space="preserve"> </w:t>
      </w:r>
      <w:r w:rsidRPr="00935827">
        <w:t>Scalp Electroencephalogram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833"/>
        <w:gridCol w:w="1244"/>
        <w:gridCol w:w="1647"/>
      </w:tblGrid>
      <w:tr w:rsidR="006A6E1A" w:rsidRPr="00E35548" w:rsidTr="00F12CF5">
        <w:trPr>
          <w:cantSplit/>
          <w:tblHeader/>
        </w:trPr>
        <w:tc>
          <w:tcPr>
            <w:tcW w:w="3189" w:type="dxa"/>
            <w:tcBorders>
              <w:bottom w:val="single" w:sz="4" w:space="0" w:color="000000"/>
            </w:tcBorders>
            <w:shd w:val="clear" w:color="auto" w:fill="auto"/>
          </w:tcPr>
          <w:p w:rsidR="006A6E1A" w:rsidRPr="00F12CF5" w:rsidRDefault="006A6E1A" w:rsidP="00F12CF5">
            <w:r w:rsidRPr="00F12CF5">
              <w:t>CDE</w:t>
            </w:r>
          </w:p>
        </w:tc>
        <w:tc>
          <w:tcPr>
            <w:tcW w:w="3833" w:type="dxa"/>
            <w:tcBorders>
              <w:bottom w:val="single" w:sz="4" w:space="0" w:color="000000"/>
            </w:tcBorders>
            <w:shd w:val="clear" w:color="auto" w:fill="auto"/>
          </w:tcPr>
          <w:p w:rsidR="006A6E1A" w:rsidRPr="00F12CF5" w:rsidRDefault="006A6E1A" w:rsidP="00F12CF5">
            <w:r w:rsidRPr="00F12CF5">
              <w:t>General Comments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</w:tcPr>
          <w:p w:rsidR="006A6E1A" w:rsidRPr="00F12CF5" w:rsidRDefault="006A6E1A" w:rsidP="00F12CF5">
            <w:r w:rsidRPr="00F12CF5">
              <w:t>Purpose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6A6E1A" w:rsidRPr="00F12CF5" w:rsidRDefault="006A6E1A" w:rsidP="00F12CF5">
            <w:r w:rsidRPr="00F12CF5">
              <w:t>Classification</w:t>
            </w:r>
          </w:p>
        </w:tc>
      </w:tr>
      <w:tr w:rsidR="006A6E1A" w:rsidRPr="00E35548" w:rsidTr="00FE5B08">
        <w:trPr>
          <w:cantSplit/>
        </w:trPr>
        <w:tc>
          <w:tcPr>
            <w:tcW w:w="3189" w:type="dxa"/>
            <w:shd w:val="clear" w:color="auto" w:fill="FFFFFF"/>
            <w:vAlign w:val="center"/>
          </w:tcPr>
          <w:p w:rsidR="006A6E1A" w:rsidRPr="00E35548" w:rsidRDefault="006A6E1A" w:rsidP="00F12CF5">
            <w:r w:rsidRPr="00E35548">
              <w:t>Activating procedures used</w:t>
            </w:r>
          </w:p>
        </w:tc>
        <w:tc>
          <w:tcPr>
            <w:tcW w:w="3833" w:type="dxa"/>
            <w:shd w:val="clear" w:color="auto" w:fill="FFFFFF"/>
            <w:vAlign w:val="center"/>
          </w:tcPr>
          <w:p w:rsidR="006A6E1A" w:rsidRPr="00E35548" w:rsidRDefault="000C6978" w:rsidP="00F12CF5">
            <w:r w:rsidRPr="00E35548">
              <w:t xml:space="preserve">Permissible values: </w:t>
            </w:r>
            <w:r w:rsidR="006A6E1A" w:rsidRPr="00E35548">
              <w:t>Sleep; Hyperventilation; Photic stimulation; Unknown; Other, specify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6A6E1A" w:rsidRPr="00E35548" w:rsidRDefault="006A6E1A" w:rsidP="00F12CF5">
            <w:r w:rsidRPr="00E35548">
              <w:t>Diagnosis</w:t>
            </w:r>
            <w:r w:rsidR="001171E4" w:rsidRPr="00E35548">
              <w:t>/</w:t>
            </w:r>
            <w:r w:rsidRPr="00E35548">
              <w:t xml:space="preserve"> 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6A6E1A" w:rsidRPr="00E35548" w:rsidRDefault="008C2F46" w:rsidP="00F12CF5">
            <w:r w:rsidRPr="00E35548">
              <w:t>Supplemental</w:t>
            </w:r>
          </w:p>
        </w:tc>
      </w:tr>
      <w:tr w:rsidR="006A6E1A" w:rsidRPr="00E35548" w:rsidTr="00FE5B08">
        <w:trPr>
          <w:cantSplit/>
        </w:trPr>
        <w:tc>
          <w:tcPr>
            <w:tcW w:w="3189" w:type="dxa"/>
            <w:shd w:val="clear" w:color="auto" w:fill="FFFFFF"/>
            <w:vAlign w:val="center"/>
          </w:tcPr>
          <w:p w:rsidR="006A6E1A" w:rsidRPr="00E35548" w:rsidRDefault="001171E4" w:rsidP="00F12CF5">
            <w:r w:rsidRPr="00E35548">
              <w:t>Routine EEG and Sleep-deprived EEG</w:t>
            </w:r>
          </w:p>
        </w:tc>
        <w:tc>
          <w:tcPr>
            <w:tcW w:w="3833" w:type="dxa"/>
            <w:shd w:val="clear" w:color="auto" w:fill="FFFFFF"/>
            <w:vAlign w:val="center"/>
          </w:tcPr>
          <w:p w:rsidR="006A6E1A" w:rsidRPr="00E35548" w:rsidRDefault="000C6978" w:rsidP="00F12CF5">
            <w:r w:rsidRPr="00E35548">
              <w:t xml:space="preserve">Permissible values: </w:t>
            </w:r>
            <w:r w:rsidR="006A6E1A" w:rsidRPr="00E35548">
              <w:t>Awake; Asleep; Unresponsive state; Indeterminate; Other, specify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6A6E1A" w:rsidRPr="00E35548" w:rsidRDefault="001171E4" w:rsidP="00F12CF5">
            <w:r w:rsidRPr="00E35548">
              <w:t>Diagnosis/</w:t>
            </w:r>
            <w:r w:rsidR="006A6E1A" w:rsidRPr="00E35548">
              <w:t xml:space="preserve"> Safety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6A6E1A" w:rsidRPr="00E35548" w:rsidRDefault="008C2F46" w:rsidP="00F12CF5">
            <w:r w:rsidRPr="00E35548">
              <w:t>Supplemental</w:t>
            </w:r>
          </w:p>
        </w:tc>
      </w:tr>
    </w:tbl>
    <w:p w:rsidR="00F12CF5" w:rsidRDefault="000C6978" w:rsidP="00F12CF5">
      <w:pPr>
        <w:pStyle w:val="Caption"/>
      </w:pPr>
      <w:bookmarkStart w:id="0" w:name="_GoBack"/>
      <w:bookmarkEnd w:id="0"/>
      <w:r w:rsidRPr="00E35548">
        <w:rPr>
          <w:rFonts w:ascii="Arial Narrow" w:hAnsi="Arial Narrow" w:cs="Arial"/>
        </w:rPr>
        <w:br w:type="page"/>
      </w:r>
    </w:p>
    <w:p w:rsidR="00C13C8A" w:rsidRDefault="00C13C8A" w:rsidP="00C13C8A">
      <w:pPr>
        <w:pStyle w:val="Caption"/>
        <w:keepNext/>
      </w:pPr>
      <w:r>
        <w:lastRenderedPageBreak/>
        <w:t xml:space="preserve">Table </w:t>
      </w:r>
      <w:fldSimple w:instr=" SEQ Table \* ARABIC ">
        <w:r>
          <w:rPr>
            <w:noProof/>
          </w:rPr>
          <w:t>9</w:t>
        </w:r>
      </w:fldSimple>
      <w:r>
        <w:t xml:space="preserve"> </w:t>
      </w:r>
      <w:r w:rsidRPr="009204E1">
        <w:t>Immune Cell Subsets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0"/>
        <w:gridCol w:w="3704"/>
        <w:gridCol w:w="1452"/>
        <w:gridCol w:w="1647"/>
      </w:tblGrid>
      <w:tr w:rsidR="006A6E1A" w:rsidRPr="00E35548" w:rsidTr="00F12CF5">
        <w:trPr>
          <w:cantSplit/>
          <w:tblHeader/>
        </w:trPr>
        <w:tc>
          <w:tcPr>
            <w:tcW w:w="3110" w:type="dxa"/>
            <w:tcBorders>
              <w:bottom w:val="single" w:sz="4" w:space="0" w:color="000000"/>
            </w:tcBorders>
            <w:shd w:val="clear" w:color="auto" w:fill="auto"/>
          </w:tcPr>
          <w:p w:rsidR="006A6E1A" w:rsidRPr="00F12CF5" w:rsidRDefault="006A6E1A" w:rsidP="006A6E1A">
            <w:pPr>
              <w:spacing w:before="2" w:after="2" w:line="240" w:lineRule="auto"/>
              <w:jc w:val="center"/>
              <w:rPr>
                <w:rFonts w:ascii="Arial Narrow" w:hAnsi="Arial Narrow" w:cs="Arial"/>
              </w:rPr>
            </w:pPr>
            <w:r w:rsidRPr="00F12CF5">
              <w:rPr>
                <w:rFonts w:ascii="Arial Narrow" w:hAnsi="Arial Narrow" w:cs="Arial"/>
              </w:rPr>
              <w:t>CDE</w:t>
            </w:r>
          </w:p>
        </w:tc>
        <w:tc>
          <w:tcPr>
            <w:tcW w:w="3704" w:type="dxa"/>
            <w:tcBorders>
              <w:bottom w:val="single" w:sz="4" w:space="0" w:color="000000"/>
            </w:tcBorders>
            <w:shd w:val="clear" w:color="auto" w:fill="auto"/>
          </w:tcPr>
          <w:p w:rsidR="006A6E1A" w:rsidRPr="00F12CF5" w:rsidRDefault="006A6E1A" w:rsidP="006A6E1A">
            <w:pPr>
              <w:spacing w:before="2" w:after="2" w:line="240" w:lineRule="auto"/>
              <w:jc w:val="center"/>
              <w:rPr>
                <w:rFonts w:ascii="Arial Narrow" w:hAnsi="Arial Narrow" w:cs="Arial"/>
              </w:rPr>
            </w:pPr>
            <w:r w:rsidRPr="00F12CF5">
              <w:rPr>
                <w:rFonts w:ascii="Arial Narrow" w:hAnsi="Arial Narrow" w:cs="Arial"/>
              </w:rPr>
              <w:t>General Comments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shd w:val="clear" w:color="auto" w:fill="auto"/>
          </w:tcPr>
          <w:p w:rsidR="006A6E1A" w:rsidRPr="00F12CF5" w:rsidRDefault="006A6E1A" w:rsidP="006A6E1A">
            <w:pPr>
              <w:spacing w:before="2" w:after="2" w:line="240" w:lineRule="auto"/>
              <w:jc w:val="center"/>
              <w:rPr>
                <w:rFonts w:ascii="Arial Narrow" w:hAnsi="Arial Narrow" w:cs="Arial"/>
              </w:rPr>
            </w:pPr>
            <w:r w:rsidRPr="00F12CF5">
              <w:rPr>
                <w:rFonts w:ascii="Arial Narrow" w:hAnsi="Arial Narrow" w:cs="Arial"/>
              </w:rPr>
              <w:t>Purpose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6A6E1A" w:rsidRPr="00F12CF5" w:rsidRDefault="006A6E1A" w:rsidP="006A6E1A">
            <w:pPr>
              <w:spacing w:before="2" w:after="2" w:line="240" w:lineRule="auto"/>
              <w:jc w:val="center"/>
              <w:rPr>
                <w:rFonts w:ascii="Arial Narrow" w:hAnsi="Arial Narrow" w:cs="Arial"/>
              </w:rPr>
            </w:pPr>
            <w:r w:rsidRPr="00F12CF5">
              <w:rPr>
                <w:rFonts w:ascii="Arial Narrow" w:hAnsi="Arial Narrow" w:cs="Arial"/>
              </w:rPr>
              <w:t>Classification</w:t>
            </w:r>
          </w:p>
        </w:tc>
      </w:tr>
      <w:tr w:rsidR="006A6E1A" w:rsidRPr="00E35548" w:rsidTr="00FE5B08">
        <w:trPr>
          <w:cantSplit/>
        </w:trPr>
        <w:tc>
          <w:tcPr>
            <w:tcW w:w="3110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CD2+</w:t>
            </w:r>
          </w:p>
        </w:tc>
        <w:tc>
          <w:tcPr>
            <w:tcW w:w="3704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T cell % and number</w:t>
            </w:r>
          </w:p>
        </w:tc>
        <w:tc>
          <w:tcPr>
            <w:tcW w:w="1452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Other/Safety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Exploratory</w:t>
            </w:r>
          </w:p>
        </w:tc>
      </w:tr>
      <w:tr w:rsidR="006A6E1A" w:rsidRPr="00E35548" w:rsidTr="00FE5B08">
        <w:trPr>
          <w:cantSplit/>
        </w:trPr>
        <w:tc>
          <w:tcPr>
            <w:tcW w:w="3110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CD2+DR</w:t>
            </w:r>
          </w:p>
        </w:tc>
        <w:tc>
          <w:tcPr>
            <w:tcW w:w="3704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T cell % and number</w:t>
            </w:r>
          </w:p>
        </w:tc>
        <w:tc>
          <w:tcPr>
            <w:tcW w:w="1452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Other/Safety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Exploratory</w:t>
            </w:r>
          </w:p>
        </w:tc>
      </w:tr>
      <w:tr w:rsidR="006A6E1A" w:rsidRPr="00E35548" w:rsidTr="00FE5B08">
        <w:trPr>
          <w:cantSplit/>
        </w:trPr>
        <w:tc>
          <w:tcPr>
            <w:tcW w:w="3110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CD3+ (T cells)</w:t>
            </w:r>
          </w:p>
        </w:tc>
        <w:tc>
          <w:tcPr>
            <w:tcW w:w="3704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T cell % and number</w:t>
            </w:r>
          </w:p>
        </w:tc>
        <w:tc>
          <w:tcPr>
            <w:tcW w:w="1452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Other/Safety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Exploratory</w:t>
            </w:r>
          </w:p>
        </w:tc>
      </w:tr>
      <w:tr w:rsidR="006A6E1A" w:rsidRPr="00E35548" w:rsidTr="00FE5B08">
        <w:trPr>
          <w:cantSplit/>
        </w:trPr>
        <w:tc>
          <w:tcPr>
            <w:tcW w:w="3110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CD3+/CD4+</w:t>
            </w:r>
          </w:p>
        </w:tc>
        <w:tc>
          <w:tcPr>
            <w:tcW w:w="3704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T cell % and number</w:t>
            </w:r>
          </w:p>
        </w:tc>
        <w:tc>
          <w:tcPr>
            <w:tcW w:w="1452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Other/Safety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Exploratory</w:t>
            </w:r>
          </w:p>
        </w:tc>
      </w:tr>
      <w:tr w:rsidR="006A6E1A" w:rsidRPr="00E35548" w:rsidTr="00FE5B08">
        <w:trPr>
          <w:cantSplit/>
        </w:trPr>
        <w:tc>
          <w:tcPr>
            <w:tcW w:w="3110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CD4+DR</w:t>
            </w:r>
          </w:p>
        </w:tc>
        <w:tc>
          <w:tcPr>
            <w:tcW w:w="3704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T cell % and number</w:t>
            </w:r>
          </w:p>
        </w:tc>
        <w:tc>
          <w:tcPr>
            <w:tcW w:w="1452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Other/Safety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Exploratory</w:t>
            </w:r>
          </w:p>
        </w:tc>
      </w:tr>
      <w:tr w:rsidR="006A6E1A" w:rsidRPr="00E35548" w:rsidTr="00FE5B08">
        <w:trPr>
          <w:cantSplit/>
        </w:trPr>
        <w:tc>
          <w:tcPr>
            <w:tcW w:w="3110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CD3+/CD8+</w:t>
            </w:r>
          </w:p>
        </w:tc>
        <w:tc>
          <w:tcPr>
            <w:tcW w:w="3704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T cell % and number</w:t>
            </w:r>
          </w:p>
        </w:tc>
        <w:tc>
          <w:tcPr>
            <w:tcW w:w="1452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Other/Safety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Exploratory</w:t>
            </w:r>
          </w:p>
        </w:tc>
      </w:tr>
      <w:tr w:rsidR="006A6E1A" w:rsidRPr="00E35548" w:rsidTr="00FE5B08">
        <w:trPr>
          <w:cantSplit/>
        </w:trPr>
        <w:tc>
          <w:tcPr>
            <w:tcW w:w="3110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CD8+DR</w:t>
            </w:r>
          </w:p>
        </w:tc>
        <w:tc>
          <w:tcPr>
            <w:tcW w:w="3704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T cell % and number</w:t>
            </w:r>
          </w:p>
        </w:tc>
        <w:tc>
          <w:tcPr>
            <w:tcW w:w="1452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Other/Safety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Exploratory</w:t>
            </w:r>
          </w:p>
        </w:tc>
      </w:tr>
      <w:tr w:rsidR="006A6E1A" w:rsidRPr="00E35548" w:rsidTr="00FE5B08">
        <w:trPr>
          <w:cantSplit/>
        </w:trPr>
        <w:tc>
          <w:tcPr>
            <w:tcW w:w="3110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CD19+ (B cells)</w:t>
            </w:r>
          </w:p>
        </w:tc>
        <w:tc>
          <w:tcPr>
            <w:tcW w:w="3704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B cell % and number</w:t>
            </w:r>
          </w:p>
        </w:tc>
        <w:tc>
          <w:tcPr>
            <w:tcW w:w="1452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Other/Safety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6A6E1A" w:rsidRPr="00E35548" w:rsidRDefault="006A6E1A" w:rsidP="00F12CF5">
            <w:r w:rsidRPr="00E35548">
              <w:t>Exploratory</w:t>
            </w:r>
          </w:p>
        </w:tc>
      </w:tr>
      <w:tr w:rsidR="00F12CF5" w:rsidRPr="00E35548" w:rsidTr="00646281">
        <w:trPr>
          <w:cantSplit/>
        </w:trPr>
        <w:tc>
          <w:tcPr>
            <w:tcW w:w="3110" w:type="dxa"/>
            <w:shd w:val="clear" w:color="auto" w:fill="FFFFFF"/>
            <w:vAlign w:val="bottom"/>
          </w:tcPr>
          <w:p w:rsidR="00F12CF5" w:rsidRPr="00E35548" w:rsidRDefault="00F12CF5" w:rsidP="00F12CF5">
            <w:r w:rsidRPr="00E35548">
              <w:t>CD3-/CD56+ (NK cells)</w:t>
            </w:r>
          </w:p>
        </w:tc>
        <w:tc>
          <w:tcPr>
            <w:tcW w:w="3704" w:type="dxa"/>
            <w:shd w:val="clear" w:color="auto" w:fill="FFFFFF"/>
          </w:tcPr>
          <w:p w:rsidR="00F12CF5" w:rsidRDefault="00F12CF5" w:rsidP="00F12CF5">
            <w:r w:rsidRPr="0095615E">
              <w:t>Intentionally Left Blank</w:t>
            </w:r>
          </w:p>
        </w:tc>
        <w:tc>
          <w:tcPr>
            <w:tcW w:w="1452" w:type="dxa"/>
            <w:shd w:val="clear" w:color="auto" w:fill="FFFFFF"/>
            <w:vAlign w:val="bottom"/>
          </w:tcPr>
          <w:p w:rsidR="00F12CF5" w:rsidRPr="00E35548" w:rsidRDefault="00F12CF5" w:rsidP="00F12CF5">
            <w:r w:rsidRPr="00E35548">
              <w:t>Other/Safety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F12CF5" w:rsidRPr="00E35548" w:rsidRDefault="00F12CF5" w:rsidP="00F12CF5">
            <w:r w:rsidRPr="00E35548">
              <w:t>Exploratory</w:t>
            </w:r>
          </w:p>
        </w:tc>
      </w:tr>
      <w:tr w:rsidR="00F12CF5" w:rsidRPr="00E35548" w:rsidTr="00646281">
        <w:trPr>
          <w:cantSplit/>
        </w:trPr>
        <w:tc>
          <w:tcPr>
            <w:tcW w:w="3110" w:type="dxa"/>
            <w:shd w:val="clear" w:color="auto" w:fill="FFFFFF"/>
            <w:vAlign w:val="bottom"/>
          </w:tcPr>
          <w:p w:rsidR="00F12CF5" w:rsidRPr="00E35548" w:rsidRDefault="00F12CF5" w:rsidP="00F12CF5">
            <w:r w:rsidRPr="00E35548">
              <w:t>CD14+ (monocytes)</w:t>
            </w:r>
          </w:p>
        </w:tc>
        <w:tc>
          <w:tcPr>
            <w:tcW w:w="3704" w:type="dxa"/>
            <w:shd w:val="clear" w:color="auto" w:fill="FFFFFF"/>
          </w:tcPr>
          <w:p w:rsidR="00F12CF5" w:rsidRDefault="00F12CF5" w:rsidP="00F12CF5">
            <w:r w:rsidRPr="0095615E">
              <w:t>Intentionally Left Blank</w:t>
            </w:r>
          </w:p>
        </w:tc>
        <w:tc>
          <w:tcPr>
            <w:tcW w:w="1452" w:type="dxa"/>
            <w:shd w:val="clear" w:color="auto" w:fill="FFFFFF"/>
            <w:vAlign w:val="bottom"/>
          </w:tcPr>
          <w:p w:rsidR="00F12CF5" w:rsidRPr="00E35548" w:rsidRDefault="00F12CF5" w:rsidP="00F12CF5">
            <w:r w:rsidRPr="00E35548">
              <w:t>Other/Safety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F12CF5" w:rsidRPr="00E35548" w:rsidRDefault="00F12CF5" w:rsidP="00F12CF5">
            <w:r w:rsidRPr="00E35548">
              <w:t>Exploratory</w:t>
            </w:r>
          </w:p>
        </w:tc>
      </w:tr>
      <w:tr w:rsidR="00F12CF5" w:rsidRPr="00E35548" w:rsidTr="00646281">
        <w:trPr>
          <w:cantSplit/>
        </w:trPr>
        <w:tc>
          <w:tcPr>
            <w:tcW w:w="3110" w:type="dxa"/>
            <w:shd w:val="clear" w:color="auto" w:fill="FFFFFF"/>
            <w:vAlign w:val="bottom"/>
          </w:tcPr>
          <w:p w:rsidR="00F12CF5" w:rsidRPr="00E35548" w:rsidRDefault="00F12CF5" w:rsidP="00F12CF5">
            <w:r w:rsidRPr="00E35548">
              <w:t>CD4/CD8 ratio</w:t>
            </w:r>
          </w:p>
        </w:tc>
        <w:tc>
          <w:tcPr>
            <w:tcW w:w="3704" w:type="dxa"/>
            <w:shd w:val="clear" w:color="auto" w:fill="FFFFFF"/>
          </w:tcPr>
          <w:p w:rsidR="00F12CF5" w:rsidRDefault="00F12CF5" w:rsidP="00F12CF5">
            <w:r w:rsidRPr="0095615E">
              <w:t>Intentionally Left Blank</w:t>
            </w:r>
          </w:p>
        </w:tc>
        <w:tc>
          <w:tcPr>
            <w:tcW w:w="1452" w:type="dxa"/>
            <w:shd w:val="clear" w:color="auto" w:fill="FFFFFF"/>
            <w:vAlign w:val="bottom"/>
          </w:tcPr>
          <w:p w:rsidR="00F12CF5" w:rsidRPr="00E35548" w:rsidRDefault="00F12CF5" w:rsidP="00F12CF5">
            <w:r w:rsidRPr="00E35548">
              <w:t>Other/Safety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F12CF5" w:rsidRPr="00E35548" w:rsidRDefault="00F12CF5" w:rsidP="00F12CF5">
            <w:r w:rsidRPr="00E35548">
              <w:t>Exploratory</w:t>
            </w:r>
          </w:p>
        </w:tc>
      </w:tr>
      <w:tr w:rsidR="00F12CF5" w:rsidRPr="00E35548" w:rsidTr="00646281">
        <w:trPr>
          <w:cantSplit/>
        </w:trPr>
        <w:tc>
          <w:tcPr>
            <w:tcW w:w="3110" w:type="dxa"/>
            <w:shd w:val="clear" w:color="auto" w:fill="FFFFFF"/>
            <w:vAlign w:val="bottom"/>
          </w:tcPr>
          <w:p w:rsidR="00F12CF5" w:rsidRPr="00E35548" w:rsidRDefault="00F12CF5" w:rsidP="00F12CF5">
            <w:r w:rsidRPr="00E35548">
              <w:t>CD20</w:t>
            </w:r>
          </w:p>
        </w:tc>
        <w:tc>
          <w:tcPr>
            <w:tcW w:w="3704" w:type="dxa"/>
            <w:shd w:val="clear" w:color="auto" w:fill="FFFFFF"/>
          </w:tcPr>
          <w:p w:rsidR="00F12CF5" w:rsidRDefault="00F12CF5" w:rsidP="00F12CF5">
            <w:r w:rsidRPr="0095615E">
              <w:t>Intentionally Left Blank</w:t>
            </w:r>
          </w:p>
        </w:tc>
        <w:tc>
          <w:tcPr>
            <w:tcW w:w="1452" w:type="dxa"/>
            <w:shd w:val="clear" w:color="auto" w:fill="FFFFFF"/>
            <w:vAlign w:val="bottom"/>
          </w:tcPr>
          <w:p w:rsidR="00F12CF5" w:rsidRPr="00E35548" w:rsidRDefault="00F12CF5" w:rsidP="00F12CF5">
            <w:r w:rsidRPr="00E35548">
              <w:t>Other/Safety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F12CF5" w:rsidRPr="00E35548" w:rsidRDefault="00F12CF5" w:rsidP="00F12CF5">
            <w:r w:rsidRPr="00E35548">
              <w:t>Exploratory</w:t>
            </w:r>
          </w:p>
        </w:tc>
      </w:tr>
      <w:tr w:rsidR="00F12CF5" w:rsidRPr="00E35548" w:rsidTr="00646281">
        <w:trPr>
          <w:cantSplit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2CF5" w:rsidRPr="00E35548" w:rsidRDefault="00F12CF5" w:rsidP="00F12CF5">
            <w:r w:rsidRPr="00E35548">
              <w:t>Other mononuclear subsets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CF5" w:rsidRDefault="00F12CF5" w:rsidP="00F12CF5">
            <w:r w:rsidRPr="0095615E">
              <w:t>Intentionally Left Blank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2CF5" w:rsidRPr="00E35548" w:rsidRDefault="00F12CF5" w:rsidP="00F12CF5">
            <w:r w:rsidRPr="00E35548">
              <w:t>Other/Safety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2CF5" w:rsidRPr="00E35548" w:rsidRDefault="00F12CF5" w:rsidP="00F12CF5">
            <w:r w:rsidRPr="00E35548">
              <w:t>Exploratory</w:t>
            </w:r>
          </w:p>
        </w:tc>
      </w:tr>
    </w:tbl>
    <w:p w:rsidR="00767048" w:rsidRDefault="00767048" w:rsidP="00F12CF5">
      <w:pPr>
        <w:rPr>
          <w:rFonts w:ascii="Arial Narrow" w:hAnsi="Arial Narrow" w:cs="Arial"/>
        </w:rPr>
      </w:pPr>
    </w:p>
    <w:sectPr w:rsidR="00767048" w:rsidSect="00E35548">
      <w:headerReference w:type="default" r:id="rId10"/>
      <w:footerReference w:type="default" r:id="rId11"/>
      <w:pgSz w:w="12240" w:h="15840"/>
      <w:pgMar w:top="1440" w:right="1440" w:bottom="126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C10" w:rsidRDefault="00CE7C10" w:rsidP="006A6E1A">
      <w:pPr>
        <w:spacing w:after="0" w:line="240" w:lineRule="auto"/>
      </w:pPr>
      <w:r>
        <w:separator/>
      </w:r>
    </w:p>
  </w:endnote>
  <w:endnote w:type="continuationSeparator" w:id="0">
    <w:p w:rsidR="00CE7C10" w:rsidRDefault="00CE7C10" w:rsidP="006A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10" w:rsidRPr="00DE6791" w:rsidRDefault="00CE7C10" w:rsidP="00DE6791">
    <w:pPr>
      <w:tabs>
        <w:tab w:val="left" w:pos="7920"/>
      </w:tabs>
    </w:pPr>
    <w:r>
      <w:tab/>
    </w:r>
    <w:r w:rsidRPr="00DE6791">
      <w:t xml:space="preserve">Page </w:t>
    </w:r>
    <w:fldSimple w:instr=" PAGE  \* Arabic  \* MERGEFORMAT ">
      <w:r w:rsidR="006E1527">
        <w:rPr>
          <w:noProof/>
        </w:rPr>
        <w:t>2</w:t>
      </w:r>
    </w:fldSimple>
    <w:r w:rsidRPr="00DE6791">
      <w:t xml:space="preserve"> of </w:t>
    </w:r>
    <w:fldSimple w:instr=" NUMPAGES  \* Arabic  \* MERGEFORMAT ">
      <w:r w:rsidR="006E1527">
        <w:rPr>
          <w:noProof/>
        </w:rPr>
        <w:t>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C10" w:rsidRDefault="00CE7C10" w:rsidP="006A6E1A">
      <w:pPr>
        <w:spacing w:after="0" w:line="240" w:lineRule="auto"/>
      </w:pPr>
      <w:r>
        <w:separator/>
      </w:r>
    </w:p>
  </w:footnote>
  <w:footnote w:type="continuationSeparator" w:id="0">
    <w:p w:rsidR="00CE7C10" w:rsidRDefault="00CE7C10" w:rsidP="006A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10" w:rsidRPr="00E35548" w:rsidRDefault="00CE7C10" w:rsidP="00DE6791">
    <w:pPr>
      <w:pStyle w:val="Heading1"/>
    </w:pPr>
    <w:r>
      <w:t>NINDS Neuromuscular Diseases (</w:t>
    </w:r>
    <w:r w:rsidR="006E1527">
      <w:t>NMD</w:t>
    </w:r>
    <w:r w:rsidRPr="00E35548">
      <w:t>) Common Data Elements (CDE)</w:t>
    </w:r>
  </w:p>
  <w:p w:rsidR="00CE7C10" w:rsidRPr="00E35548" w:rsidRDefault="00CE7C10" w:rsidP="00DE6791">
    <w:pPr>
      <w:pStyle w:val="Heading1"/>
    </w:pPr>
    <w:r>
      <w:t xml:space="preserve">Laboratory Tests Guidelines for Use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7D51"/>
    <w:multiLevelType w:val="hybridMultilevel"/>
    <w:tmpl w:val="CD8C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332AD"/>
    <w:multiLevelType w:val="hybridMultilevel"/>
    <w:tmpl w:val="A5D0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23C4D"/>
    <w:rsid w:val="000048D6"/>
    <w:rsid w:val="00007B7E"/>
    <w:rsid w:val="00040B91"/>
    <w:rsid w:val="00061CE7"/>
    <w:rsid w:val="00072E95"/>
    <w:rsid w:val="00095D27"/>
    <w:rsid w:val="000C38B9"/>
    <w:rsid w:val="000C6978"/>
    <w:rsid w:val="00104833"/>
    <w:rsid w:val="00113072"/>
    <w:rsid w:val="001171E4"/>
    <w:rsid w:val="001441AD"/>
    <w:rsid w:val="0016463C"/>
    <w:rsid w:val="00197AFA"/>
    <w:rsid w:val="001B483F"/>
    <w:rsid w:val="001B5B80"/>
    <w:rsid w:val="0022688F"/>
    <w:rsid w:val="002608D3"/>
    <w:rsid w:val="00267936"/>
    <w:rsid w:val="002706D6"/>
    <w:rsid w:val="00284F58"/>
    <w:rsid w:val="002E5340"/>
    <w:rsid w:val="002F3FEB"/>
    <w:rsid w:val="00330509"/>
    <w:rsid w:val="00333223"/>
    <w:rsid w:val="00394A6A"/>
    <w:rsid w:val="00397B67"/>
    <w:rsid w:val="003A490E"/>
    <w:rsid w:val="003B26AB"/>
    <w:rsid w:val="003E409F"/>
    <w:rsid w:val="00454ECC"/>
    <w:rsid w:val="004832EF"/>
    <w:rsid w:val="00487804"/>
    <w:rsid w:val="00496EA7"/>
    <w:rsid w:val="004C5804"/>
    <w:rsid w:val="005506AA"/>
    <w:rsid w:val="005553C5"/>
    <w:rsid w:val="00570BDA"/>
    <w:rsid w:val="00581AAB"/>
    <w:rsid w:val="005A5DA6"/>
    <w:rsid w:val="005F5519"/>
    <w:rsid w:val="00616BFA"/>
    <w:rsid w:val="00620D23"/>
    <w:rsid w:val="00646281"/>
    <w:rsid w:val="00661714"/>
    <w:rsid w:val="00663C96"/>
    <w:rsid w:val="006721DC"/>
    <w:rsid w:val="006A3295"/>
    <w:rsid w:val="006A6E1A"/>
    <w:rsid w:val="006E1527"/>
    <w:rsid w:val="00767048"/>
    <w:rsid w:val="00771350"/>
    <w:rsid w:val="007B7834"/>
    <w:rsid w:val="007D3522"/>
    <w:rsid w:val="008232F8"/>
    <w:rsid w:val="00844D42"/>
    <w:rsid w:val="00897C78"/>
    <w:rsid w:val="008C193D"/>
    <w:rsid w:val="008C2F46"/>
    <w:rsid w:val="00940254"/>
    <w:rsid w:val="00956909"/>
    <w:rsid w:val="009576ED"/>
    <w:rsid w:val="00964280"/>
    <w:rsid w:val="00995A41"/>
    <w:rsid w:val="009C0DE9"/>
    <w:rsid w:val="009C2A63"/>
    <w:rsid w:val="009F1DED"/>
    <w:rsid w:val="00A025C2"/>
    <w:rsid w:val="00A53B21"/>
    <w:rsid w:val="00AA7F33"/>
    <w:rsid w:val="00AC28D8"/>
    <w:rsid w:val="00AE0ED2"/>
    <w:rsid w:val="00B1012F"/>
    <w:rsid w:val="00B108B6"/>
    <w:rsid w:val="00B20A2A"/>
    <w:rsid w:val="00B23C4D"/>
    <w:rsid w:val="00BA55A4"/>
    <w:rsid w:val="00BC6707"/>
    <w:rsid w:val="00BE0901"/>
    <w:rsid w:val="00BE460E"/>
    <w:rsid w:val="00BF2C18"/>
    <w:rsid w:val="00C13C8A"/>
    <w:rsid w:val="00C27820"/>
    <w:rsid w:val="00C67A25"/>
    <w:rsid w:val="00C81A01"/>
    <w:rsid w:val="00CE7C10"/>
    <w:rsid w:val="00D17E4D"/>
    <w:rsid w:val="00D21C2D"/>
    <w:rsid w:val="00D745A0"/>
    <w:rsid w:val="00D83127"/>
    <w:rsid w:val="00DA6BBC"/>
    <w:rsid w:val="00DA7351"/>
    <w:rsid w:val="00DE6791"/>
    <w:rsid w:val="00E13255"/>
    <w:rsid w:val="00E30162"/>
    <w:rsid w:val="00E35548"/>
    <w:rsid w:val="00E671C4"/>
    <w:rsid w:val="00E844A4"/>
    <w:rsid w:val="00E91B78"/>
    <w:rsid w:val="00EC16B4"/>
    <w:rsid w:val="00EC2F69"/>
    <w:rsid w:val="00EF10BA"/>
    <w:rsid w:val="00EF5619"/>
    <w:rsid w:val="00EF7DF8"/>
    <w:rsid w:val="00F12CF5"/>
    <w:rsid w:val="00F158F5"/>
    <w:rsid w:val="00F55F54"/>
    <w:rsid w:val="00F84C8E"/>
    <w:rsid w:val="00FC4EE5"/>
    <w:rsid w:val="00FE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E6791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E6791"/>
    <w:pPr>
      <w:keepNext/>
      <w:spacing w:before="240" w:after="6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62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C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4D"/>
  </w:style>
  <w:style w:type="paragraph" w:styleId="Footer">
    <w:name w:val="footer"/>
    <w:basedOn w:val="Normal"/>
    <w:link w:val="FooterChar"/>
    <w:uiPriority w:val="99"/>
    <w:unhideWhenUsed/>
    <w:rsid w:val="00B2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4D"/>
  </w:style>
  <w:style w:type="character" w:customStyle="1" w:styleId="ft">
    <w:name w:val="ft"/>
    <w:basedOn w:val="DefaultParagraphFont"/>
    <w:rsid w:val="00EF5619"/>
  </w:style>
  <w:style w:type="character" w:styleId="Hyperlink">
    <w:name w:val="Hyperlink"/>
    <w:uiPriority w:val="99"/>
    <w:unhideWhenUsed/>
    <w:rsid w:val="00581AAB"/>
    <w:rPr>
      <w:color w:val="0000FF"/>
      <w:u w:val="single"/>
    </w:rPr>
  </w:style>
  <w:style w:type="character" w:customStyle="1" w:styleId="sngtest">
    <w:name w:val="sngtest"/>
    <w:basedOn w:val="DefaultParagraphFont"/>
    <w:rsid w:val="00581AAB"/>
  </w:style>
  <w:style w:type="character" w:styleId="CommentReference">
    <w:name w:val="annotation reference"/>
    <w:rsid w:val="00D831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3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3127"/>
  </w:style>
  <w:style w:type="paragraph" w:styleId="CommentSubject">
    <w:name w:val="annotation subject"/>
    <w:basedOn w:val="CommentText"/>
    <w:next w:val="CommentText"/>
    <w:link w:val="CommentSubjectChar"/>
    <w:rsid w:val="00D83127"/>
    <w:rPr>
      <w:b/>
      <w:bCs/>
    </w:rPr>
  </w:style>
  <w:style w:type="character" w:customStyle="1" w:styleId="CommentSubjectChar">
    <w:name w:val="Comment Subject Char"/>
    <w:link w:val="CommentSubject"/>
    <w:rsid w:val="00D83127"/>
    <w:rPr>
      <w:b/>
      <w:bCs/>
    </w:rPr>
  </w:style>
  <w:style w:type="paragraph" w:styleId="BalloonText">
    <w:name w:val="Balloon Text"/>
    <w:basedOn w:val="Normal"/>
    <w:link w:val="BalloonTextChar"/>
    <w:rsid w:val="00D8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3127"/>
    <w:rPr>
      <w:rFonts w:ascii="Tahoma" w:hAnsi="Tahoma" w:cs="Tahoma"/>
      <w:sz w:val="16"/>
      <w:szCs w:val="16"/>
    </w:rPr>
  </w:style>
  <w:style w:type="paragraph" w:styleId="Revision">
    <w:name w:val="Revision"/>
    <w:hidden/>
    <w:rsid w:val="001171E4"/>
    <w:rPr>
      <w:sz w:val="22"/>
      <w:szCs w:val="22"/>
    </w:rPr>
  </w:style>
  <w:style w:type="character" w:customStyle="1" w:styleId="Heading1Char">
    <w:name w:val="Heading 1 Char"/>
    <w:link w:val="Heading1"/>
    <w:rsid w:val="00DE6791"/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Caption">
    <w:name w:val="caption"/>
    <w:basedOn w:val="Normal"/>
    <w:next w:val="Normal"/>
    <w:unhideWhenUsed/>
    <w:qFormat/>
    <w:rsid w:val="00F12CF5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646281"/>
  </w:style>
  <w:style w:type="character" w:customStyle="1" w:styleId="Heading2Char">
    <w:name w:val="Heading 2 Char"/>
    <w:basedOn w:val="DefaultParagraphFont"/>
    <w:link w:val="Heading2"/>
    <w:semiHidden/>
    <w:rsid w:val="006462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05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7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5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73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91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19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19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15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73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2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36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03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35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7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C6DB91418FF468DF40C310CA2E7FA" ma:contentTypeVersion="0" ma:contentTypeDescription="Create a new document." ma:contentTypeScope="" ma:versionID="cd02ce90d8dc3a2e5f57cd1ab909f5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4F0C5-3A4B-4B75-BA3F-BB4591F51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52EC5EE-548D-4B80-BC33-25D70B148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72B32-DCA6-43D9-B9CA-DFF8EBFD38F5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20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NINDS Neuromuscular Diseases Common Data Elements Laboratory Tests Guidelines for Use</vt:lpstr>
    </vt:vector>
  </TitlesOfParts>
  <Company>Altarum Institute</Company>
  <LinksUpToDate>false</LinksUpToDate>
  <CharactersWithSpaces>21540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NINDS Neuromuscular Diseases Common Data Elements Laboratory Tests Guidelines for Use</dc:title>
  <dc:subject>CRF</dc:subject>
  <dc:creator>NINDS</dc:creator>
  <cp:keywords>NINDS, CRF, NINDS Neuromuscular Diseases Common Data Elements Laboratory Tests Guidelines for Use</cp:keywords>
  <cp:lastModifiedBy>Muniza Sheikh</cp:lastModifiedBy>
  <cp:revision>6</cp:revision>
  <cp:lastPrinted>2011-12-14T11:34:00Z</cp:lastPrinted>
  <dcterms:created xsi:type="dcterms:W3CDTF">2014-10-31T19:05:00Z</dcterms:created>
  <dcterms:modified xsi:type="dcterms:W3CDTF">2015-02-17T18:55:00Z</dcterms:modified>
  <cp:category>CRF</cp:category>
  <cp:contentStatus>508 Compliant</cp:contentStatus>
</cp:coreProperties>
</file>